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方正黑体_GBK" w:hAnsi="方正黑体_GBK" w:eastAsia="方正黑体_GBK" w:cs="方正黑体_GBK"/>
          <w:b w:val="0"/>
          <w:bCs/>
          <w:sz w:val="32"/>
          <w:szCs w:val="32"/>
        </w:rPr>
      </w:pPr>
      <w:r>
        <w:rPr>
          <w:rFonts w:hint="eastAsia" w:ascii="方正黑体_GBK" w:hAnsi="方正黑体_GBK" w:eastAsia="方正黑体_GBK" w:cs="方正黑体_GBK"/>
          <w:b w:val="0"/>
          <w:bCs/>
          <w:sz w:val="32"/>
          <w:szCs w:val="32"/>
          <w:lang w:eastAsia="zh-CN"/>
        </w:rPr>
        <w:t>附件</w:t>
      </w:r>
      <w:r>
        <w:rPr>
          <w:rFonts w:hint="eastAsia" w:ascii="方正黑体_GBK" w:hAnsi="方正黑体_GBK" w:eastAsia="方正黑体_GBK" w:cs="方正黑体_GBK"/>
          <w:b w:val="0"/>
          <w:bCs/>
          <w:sz w:val="32"/>
          <w:szCs w:val="32"/>
          <w:lang w:val="en-US" w:eastAsia="zh-CN"/>
        </w:rPr>
        <w:t>8</w:t>
      </w:r>
      <w:r>
        <w:rPr>
          <w:rFonts w:hint="eastAsia" w:ascii="方正黑体_GBK" w:hAnsi="方正黑体_GBK" w:eastAsia="方正黑体_GBK" w:cs="方正黑体_GBK"/>
          <w:b w:val="0"/>
          <w:bCs/>
          <w:sz w:val="32"/>
          <w:szCs w:val="32"/>
        </w:rPr>
        <w:t xml:space="preserve"> </w:t>
      </w:r>
    </w:p>
    <w:p>
      <w:pPr>
        <w:spacing w:line="600" w:lineRule="exact"/>
        <w:jc w:val="center"/>
        <w:rPr>
          <w:rFonts w:hint="eastAsia" w:ascii="方正小标宋_GBK" w:hAnsi="方正小标宋_GBK" w:eastAsia="方正小标宋_GBK" w:cs="方正小标宋_GBK"/>
          <w:b w:val="0"/>
          <w:bCs/>
          <w:sz w:val="44"/>
          <w:szCs w:val="44"/>
        </w:rPr>
      </w:pPr>
      <w:bookmarkStart w:id="0" w:name="_GoBack"/>
      <w:r>
        <w:rPr>
          <w:rFonts w:hint="eastAsia" w:ascii="方正小标宋_GBK" w:hAnsi="方正小标宋_GBK" w:eastAsia="方正小标宋_GBK" w:cs="方正小标宋_GBK"/>
          <w:b w:val="0"/>
          <w:bCs/>
          <w:sz w:val="44"/>
          <w:szCs w:val="44"/>
          <w:lang w:eastAsia="zh-CN"/>
        </w:rPr>
        <w:t>广州市</w:t>
      </w:r>
      <w:r>
        <w:rPr>
          <w:rFonts w:hint="eastAsia" w:ascii="方正小标宋_GBK" w:hAnsi="方正小标宋_GBK" w:eastAsia="方正小标宋_GBK" w:cs="方正小标宋_GBK"/>
          <w:b w:val="0"/>
          <w:bCs/>
          <w:sz w:val="44"/>
          <w:szCs w:val="44"/>
        </w:rPr>
        <w:t>“食在广州”评价认证技术规范</w:t>
      </w:r>
    </w:p>
    <w:p>
      <w:pPr>
        <w:spacing w:line="600" w:lineRule="exact"/>
        <w:jc w:val="center"/>
        <w:rPr>
          <w:rFonts w:hint="eastAsia" w:ascii="方正楷体_GBK" w:hAnsi="方正楷体_GBK" w:eastAsia="方正楷体_GBK" w:cs="方正楷体_GBK"/>
          <w:b w:val="0"/>
          <w:bCs/>
          <w:sz w:val="32"/>
          <w:szCs w:val="32"/>
        </w:rPr>
      </w:pPr>
      <w:r>
        <w:rPr>
          <w:rFonts w:hint="eastAsia" w:ascii="方正楷体_GBK" w:hAnsi="方正楷体_GBK" w:eastAsia="方正楷体_GBK" w:cs="方正楷体_GBK"/>
          <w:b w:val="0"/>
          <w:bCs/>
          <w:sz w:val="32"/>
          <w:szCs w:val="32"/>
        </w:rPr>
        <w:t>（预包装食品</w:t>
      </w:r>
      <w:r>
        <w:rPr>
          <w:rFonts w:hint="eastAsia" w:ascii="方正楷体_GBK" w:hAnsi="方正楷体_GBK" w:eastAsia="方正楷体_GBK" w:cs="方正楷体_GBK"/>
          <w:b w:val="0"/>
          <w:bCs/>
          <w:sz w:val="32"/>
          <w:szCs w:val="32"/>
          <w:lang w:val="en-US" w:eastAsia="zh-CN"/>
        </w:rPr>
        <w:t>类</w:t>
      </w:r>
      <w:r>
        <w:rPr>
          <w:rFonts w:hint="eastAsia" w:ascii="方正楷体_GBK" w:hAnsi="方正楷体_GBK" w:eastAsia="方正楷体_GBK" w:cs="方正楷体_GBK"/>
          <w:b w:val="0"/>
          <w:bCs/>
          <w:sz w:val="32"/>
          <w:szCs w:val="32"/>
        </w:rPr>
        <w:t>：调味品）</w:t>
      </w:r>
    </w:p>
    <w:bookmarkEnd w:id="0"/>
    <w:p>
      <w:pPr>
        <w:spacing w:line="600" w:lineRule="exact"/>
        <w:ind w:firstLine="630" w:firstLineChars="196"/>
        <w:rPr>
          <w:rFonts w:hint="default" w:ascii="Times New Roman" w:hAnsi="Times New Roman" w:eastAsia="方正仿宋_GBK" w:cs="Times New Roman"/>
          <w:b/>
          <w:sz w:val="32"/>
          <w:szCs w:val="32"/>
        </w:rPr>
      </w:pPr>
    </w:p>
    <w:p>
      <w:pPr>
        <w:spacing w:line="600" w:lineRule="exact"/>
        <w:ind w:firstLine="640" w:firstLineChars="200"/>
        <w:rPr>
          <w:rFonts w:hint="eastAsia" w:ascii="方正黑体_GBK" w:hAnsi="方正黑体_GBK" w:eastAsia="方正黑体_GBK" w:cs="方正黑体_GBK"/>
          <w:b w:val="0"/>
          <w:bCs/>
          <w:sz w:val="32"/>
          <w:szCs w:val="32"/>
        </w:rPr>
      </w:pPr>
      <w:r>
        <w:rPr>
          <w:rFonts w:hint="eastAsia" w:ascii="方正黑体_GBK" w:hAnsi="方正黑体_GBK" w:eastAsia="方正黑体_GBK" w:cs="方正黑体_GBK"/>
          <w:b w:val="0"/>
          <w:bCs/>
          <w:sz w:val="32"/>
          <w:szCs w:val="32"/>
        </w:rPr>
        <w:t>一、认证产品范围</w:t>
      </w:r>
    </w:p>
    <w:p>
      <w:pPr>
        <w:spacing w:line="60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申请“食在广州”</w:t>
      </w:r>
      <w:r>
        <w:rPr>
          <w:rFonts w:hint="default" w:ascii="Times New Roman" w:hAnsi="Times New Roman" w:eastAsia="方正仿宋_GBK" w:cs="Times New Roman"/>
          <w:sz w:val="32"/>
          <w:szCs w:val="32"/>
          <w:lang w:eastAsia="zh-CN"/>
        </w:rPr>
        <w:t>评价</w:t>
      </w:r>
      <w:r>
        <w:rPr>
          <w:rFonts w:hint="default" w:ascii="Times New Roman" w:hAnsi="Times New Roman" w:eastAsia="方正仿宋_GBK" w:cs="Times New Roman"/>
          <w:sz w:val="32"/>
          <w:szCs w:val="32"/>
        </w:rPr>
        <w:t>认证的调味品产品包括具有广州特色的酱油、食醋、液体调味料、半固体调味料（海鲜酱、柱候酱等）、固体调味料（盐焗鸡粉等）等调味品。</w:t>
      </w:r>
    </w:p>
    <w:p>
      <w:pPr>
        <w:spacing w:line="600" w:lineRule="exact"/>
        <w:ind w:firstLine="640" w:firstLineChars="200"/>
        <w:rPr>
          <w:rFonts w:hint="eastAsia" w:ascii="方正黑体_GBK" w:hAnsi="方正黑体_GBK" w:eastAsia="方正黑体_GBK" w:cs="方正黑体_GBK"/>
          <w:b w:val="0"/>
          <w:bCs/>
          <w:sz w:val="32"/>
          <w:szCs w:val="32"/>
        </w:rPr>
      </w:pPr>
      <w:r>
        <w:rPr>
          <w:rFonts w:hint="eastAsia" w:ascii="方正黑体_GBK" w:hAnsi="方正黑体_GBK" w:eastAsia="方正黑体_GBK" w:cs="方正黑体_GBK"/>
          <w:b w:val="0"/>
          <w:bCs/>
          <w:sz w:val="32"/>
          <w:szCs w:val="32"/>
        </w:rPr>
        <w:t>二、认证相关标准</w:t>
      </w:r>
    </w:p>
    <w:p>
      <w:pPr>
        <w:spacing w:line="60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GB 1352  大豆</w:t>
      </w:r>
    </w:p>
    <w:p>
      <w:pPr>
        <w:spacing w:line="60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GB/T 1354  大米</w:t>
      </w:r>
    </w:p>
    <w:p>
      <w:pPr>
        <w:spacing w:line="60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GB/T 1355  小麦粉</w:t>
      </w:r>
    </w:p>
    <w:p>
      <w:pPr>
        <w:spacing w:line="60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GB 2717  食品安全国家标准  酱油</w:t>
      </w:r>
    </w:p>
    <w:p>
      <w:pPr>
        <w:spacing w:line="60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GB 2718  食品安全国家标准  酿造酱</w:t>
      </w:r>
    </w:p>
    <w:p>
      <w:pPr>
        <w:spacing w:line="60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GB 2719  食品安全国家标准  食醋</w:t>
      </w:r>
    </w:p>
    <w:p>
      <w:pPr>
        <w:spacing w:line="60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GB 2760  食品安全国家标准  食品添加剂使用标准</w:t>
      </w:r>
    </w:p>
    <w:p>
      <w:pPr>
        <w:spacing w:line="60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GB 2761  食品安全国家标准  食品中真菌毒素限量</w:t>
      </w:r>
    </w:p>
    <w:p>
      <w:pPr>
        <w:spacing w:line="60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GB 2762  食品安全国家标准  食品中污染物限量</w:t>
      </w:r>
    </w:p>
    <w:p>
      <w:pPr>
        <w:spacing w:line="60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GB 2763  食品安全国家标准  食品中农药最大残留限量</w:t>
      </w:r>
    </w:p>
    <w:p>
      <w:pPr>
        <w:spacing w:line="60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GB/T 18186  酿造酱油</w:t>
      </w:r>
    </w:p>
    <w:p>
      <w:pPr>
        <w:spacing w:line="60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GB/T 18187  酿造食醋</w:t>
      </w:r>
    </w:p>
    <w:p>
      <w:pPr>
        <w:spacing w:line="60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GB 29921  食品安全国家标准  预包装食品中致病菌限量</w:t>
      </w:r>
    </w:p>
    <w:p>
      <w:pPr>
        <w:spacing w:line="60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GB 31644  食品安全国家标准  复合调味料</w:t>
      </w:r>
    </w:p>
    <w:p>
      <w:pPr>
        <w:spacing w:line="60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食品整治办[2008]3号  食品中可能违法添加的非食用物质和易滥用的食品添加剂品种名单（第一批）</w:t>
      </w:r>
    </w:p>
    <w:p>
      <w:pPr>
        <w:spacing w:line="60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整顿办函[2011]1号  食品中可能违法添加的非食用物质和易滥用的食品添加剂品种名单（第五批）</w:t>
      </w:r>
    </w:p>
    <w:p>
      <w:pPr>
        <w:spacing w:line="60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产品明示标准和质量要求</w:t>
      </w:r>
    </w:p>
    <w:p>
      <w:pPr>
        <w:spacing w:line="60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相关的法律法规、部门规章和规定</w:t>
      </w:r>
    </w:p>
    <w:p>
      <w:pPr>
        <w:spacing w:line="600" w:lineRule="exact"/>
        <w:ind w:firstLine="640" w:firstLineChars="200"/>
        <w:rPr>
          <w:rFonts w:hint="eastAsia" w:ascii="方正黑体_GBK" w:hAnsi="方正黑体_GBK" w:eastAsia="方正黑体_GBK" w:cs="方正黑体_GBK"/>
          <w:b w:val="0"/>
          <w:bCs/>
          <w:sz w:val="32"/>
          <w:szCs w:val="32"/>
        </w:rPr>
      </w:pPr>
      <w:r>
        <w:rPr>
          <w:rFonts w:hint="eastAsia" w:ascii="方正黑体_GBK" w:hAnsi="方正黑体_GBK" w:eastAsia="方正黑体_GBK" w:cs="方正黑体_GBK"/>
          <w:b w:val="0"/>
          <w:bCs/>
          <w:sz w:val="32"/>
          <w:szCs w:val="32"/>
        </w:rPr>
        <w:t>三、产品认证要求</w:t>
      </w:r>
    </w:p>
    <w:p>
      <w:pPr>
        <w:spacing w:line="600" w:lineRule="exact"/>
        <w:ind w:firstLine="643" w:firstLineChars="200"/>
        <w:rPr>
          <w:rFonts w:hint="default" w:ascii="Times New Roman" w:hAnsi="Times New Roman" w:eastAsia="方正仿宋_GBK" w:cs="Times New Roman"/>
          <w:b/>
          <w:sz w:val="32"/>
          <w:szCs w:val="32"/>
        </w:rPr>
      </w:pPr>
      <w:r>
        <w:rPr>
          <w:rFonts w:hint="default" w:ascii="Times New Roman" w:hAnsi="Times New Roman" w:eastAsia="方正仿宋_GBK" w:cs="Times New Roman"/>
          <w:b/>
          <w:sz w:val="32"/>
          <w:szCs w:val="32"/>
        </w:rPr>
        <w:t>3.1  产品要求</w:t>
      </w:r>
    </w:p>
    <w:p>
      <w:pPr>
        <w:spacing w:line="60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申请“食在广州”</w:t>
      </w:r>
      <w:r>
        <w:rPr>
          <w:rFonts w:hint="default" w:ascii="Times New Roman" w:hAnsi="Times New Roman" w:eastAsia="方正仿宋_GBK" w:cs="Times New Roman"/>
          <w:sz w:val="32"/>
          <w:szCs w:val="32"/>
          <w:lang w:eastAsia="zh-CN"/>
        </w:rPr>
        <w:t>评价</w:t>
      </w:r>
      <w:r>
        <w:rPr>
          <w:rFonts w:hint="default" w:ascii="Times New Roman" w:hAnsi="Times New Roman" w:eastAsia="方正仿宋_GBK" w:cs="Times New Roman"/>
          <w:sz w:val="32"/>
          <w:szCs w:val="32"/>
        </w:rPr>
        <w:t>认证的调味品产品应以当地传统生产工艺为传承，具有地方特色风味，或可体现广府文化特色，或品质优良，可代表广州品牌形象的预包装调味品。</w:t>
      </w:r>
    </w:p>
    <w:p>
      <w:pPr>
        <w:spacing w:line="600" w:lineRule="exact"/>
        <w:ind w:firstLine="643" w:firstLineChars="200"/>
        <w:rPr>
          <w:rFonts w:hint="default" w:ascii="Times New Roman" w:hAnsi="Times New Roman" w:eastAsia="方正仿宋_GBK" w:cs="Times New Roman"/>
          <w:b/>
          <w:sz w:val="32"/>
          <w:szCs w:val="32"/>
        </w:rPr>
      </w:pPr>
      <w:r>
        <w:rPr>
          <w:rFonts w:hint="default" w:ascii="Times New Roman" w:hAnsi="Times New Roman" w:eastAsia="方正仿宋_GBK" w:cs="Times New Roman"/>
          <w:b/>
          <w:sz w:val="32"/>
          <w:szCs w:val="32"/>
        </w:rPr>
        <w:t>3.2  企业要求</w:t>
      </w:r>
    </w:p>
    <w:p>
      <w:pPr>
        <w:spacing w:line="60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申请调味品产品“食在广州”</w:t>
      </w:r>
      <w:r>
        <w:rPr>
          <w:rFonts w:hint="default" w:ascii="Times New Roman" w:hAnsi="Times New Roman" w:eastAsia="方正仿宋_GBK" w:cs="Times New Roman"/>
          <w:sz w:val="32"/>
          <w:szCs w:val="32"/>
          <w:lang w:eastAsia="zh-CN"/>
        </w:rPr>
        <w:t>评价</w:t>
      </w:r>
      <w:r>
        <w:rPr>
          <w:rFonts w:hint="default" w:ascii="Times New Roman" w:hAnsi="Times New Roman" w:eastAsia="方正仿宋_GBK" w:cs="Times New Roman"/>
          <w:sz w:val="32"/>
          <w:szCs w:val="32"/>
        </w:rPr>
        <w:t>认证的企业所属行政区域原则上仅限于广东省广州市现辖行政区域。若同类产品由广州市现辖行政区域外的子公司生产且与申请认证企业使用共版标签的，子公司应为该申请认证企业的全资子公司。</w:t>
      </w:r>
    </w:p>
    <w:p>
      <w:pPr>
        <w:spacing w:line="600" w:lineRule="exact"/>
        <w:ind w:firstLine="643" w:firstLineChars="200"/>
        <w:rPr>
          <w:rFonts w:hint="default" w:ascii="Times New Roman" w:hAnsi="Times New Roman" w:eastAsia="方正仿宋_GBK" w:cs="Times New Roman"/>
          <w:b/>
          <w:sz w:val="32"/>
          <w:szCs w:val="32"/>
        </w:rPr>
      </w:pPr>
      <w:r>
        <w:rPr>
          <w:rFonts w:hint="default" w:ascii="Times New Roman" w:hAnsi="Times New Roman" w:eastAsia="方正仿宋_GBK" w:cs="Times New Roman"/>
          <w:b/>
          <w:sz w:val="32"/>
          <w:szCs w:val="32"/>
        </w:rPr>
        <w:t>3.3  原辅料要求</w:t>
      </w:r>
    </w:p>
    <w:p>
      <w:pPr>
        <w:spacing w:line="60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申请“食在广州”</w:t>
      </w:r>
      <w:r>
        <w:rPr>
          <w:rFonts w:hint="default" w:ascii="Times New Roman" w:hAnsi="Times New Roman" w:eastAsia="方正仿宋_GBK" w:cs="Times New Roman"/>
          <w:sz w:val="32"/>
          <w:szCs w:val="32"/>
          <w:lang w:eastAsia="zh-CN"/>
        </w:rPr>
        <w:t>评价</w:t>
      </w:r>
      <w:r>
        <w:rPr>
          <w:rFonts w:hint="default" w:ascii="Times New Roman" w:hAnsi="Times New Roman" w:eastAsia="方正仿宋_GBK" w:cs="Times New Roman"/>
          <w:sz w:val="32"/>
          <w:szCs w:val="32"/>
        </w:rPr>
        <w:t>认证的调味品产品的原辅料需符合国家强制性标准及其执行标准的要求，且在满足生产工艺需求下，原则上符合最优质量等级要求。影响特色风味的关键原辅料应符合以下要求：</w:t>
      </w:r>
    </w:p>
    <w:p>
      <w:pPr>
        <w:spacing w:line="60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3.3.1　黄豆</w:t>
      </w:r>
    </w:p>
    <w:p>
      <w:pPr>
        <w:spacing w:line="60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符合GB 1352要求的非转基因高蛋白大豆，其中粗蛋白含量≥40％，完整粒率≥95％，水分≤13％，杂质≤1％。</w:t>
      </w:r>
    </w:p>
    <w:p>
      <w:pPr>
        <w:spacing w:line="60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3.3.2 小麦粉</w:t>
      </w:r>
    </w:p>
    <w:p>
      <w:pPr>
        <w:spacing w:line="60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符合GB/T 1355要求，其中灰分含量（以干基计）≤1.1％，水分含量≤14％，湿面筋含量≥22％。</w:t>
      </w:r>
    </w:p>
    <w:p>
      <w:pPr>
        <w:spacing w:line="60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3.3.3 大米</w:t>
      </w:r>
    </w:p>
    <w:p>
      <w:pPr>
        <w:spacing w:line="60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符合GB/T 1354要求，其中水分≤14.5％，杂质总量≤0.25％。</w:t>
      </w:r>
    </w:p>
    <w:p>
      <w:pPr>
        <w:spacing w:line="600" w:lineRule="exact"/>
        <w:ind w:firstLine="643" w:firstLineChars="200"/>
        <w:rPr>
          <w:rFonts w:hint="default" w:ascii="Times New Roman" w:hAnsi="Times New Roman" w:eastAsia="方正仿宋_GBK" w:cs="Times New Roman"/>
          <w:b/>
          <w:sz w:val="32"/>
          <w:szCs w:val="32"/>
        </w:rPr>
      </w:pPr>
      <w:r>
        <w:rPr>
          <w:rFonts w:hint="default" w:ascii="Times New Roman" w:hAnsi="Times New Roman" w:eastAsia="方正仿宋_GBK" w:cs="Times New Roman"/>
          <w:b/>
          <w:sz w:val="32"/>
          <w:szCs w:val="32"/>
        </w:rPr>
        <w:t>3.4  生产工艺要求</w:t>
      </w:r>
    </w:p>
    <w:p>
      <w:pPr>
        <w:spacing w:line="60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认证产品的生产工艺应采用当地传统工艺，体现地方文化特色，其生产设备、生产环境卫生标准、生产工艺流程等应同时符合国家相关法律法规的要求。如：</w:t>
      </w:r>
    </w:p>
    <w:p>
      <w:pPr>
        <w:spacing w:line="60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酱油：以广东地区制作工艺和风味特色为代表的广式酱油。以原粒黄豆为主要原料，经浸泡、蒸煮后拌入小麦粉，接种曲霉菌种进行制曲，曲料成熟后拌入食盐水进行高盐稀态发酵；发酵容器一般为瓦缸、不锈钢或玻璃纤维罐，容器无需保温设备，以日晒夜露的方式进行自然生晒。酱油经自然晒制90天-180天，抽出头油并经过滤、沉降后，加入白砂糖、酵母抽提物、食品添加剂等配料进行调配，经煮制、灭菌后进行灌装而成。</w:t>
      </w:r>
    </w:p>
    <w:p>
      <w:pPr>
        <w:spacing w:line="60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甜醋：以广东地区制作工艺和风味特色为代表的广式甜醋。以大米或糯米为主要原料，经糖化、酒化、萃取过滤后，与水、食用酒精混合后进行静置式表层自然发酵35天-45天，发酵过程不需要通风供氧、保温降温设备。发酵成熟的米醋加入八角、桂皮、陈皮、丁香、姜等香辛料，经浸泡、加热、过滤后成为香料醋液，然后加入赤砂糖、白砂糖、饮用水经熬制、转化，添加或不添加食盐、食品添加剂等配料进行调配、灭菌后，并经灌装而成为成品甜醋。</w:t>
      </w:r>
    </w:p>
    <w:p>
      <w:pPr>
        <w:spacing w:line="60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柱候酱：以广东地区制作工艺和风味特色为代表的传统广式调味酱。以黄豆、小麦粉、食用盐发酵的面豉酱为主要原料，添加或不添加酿造酱油、酿造食醋、白砂糖、赤砂糖、大蒜、辣椒、芝麻、芝麻油、腐乳、南乳（红腐乳）、香辛料、酵母抽提物、食品添加剂等配料，经煮制、灭菌后，灌装而成。</w:t>
      </w:r>
    </w:p>
    <w:p>
      <w:pPr>
        <w:spacing w:line="60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海鲜酱：以广东地区制作工艺和风味特色为代表的传统广式调味酱。以黄豆、小麦粉、食用盐发酵的豆酱为主要原料，添加酿造食醋、白砂糖、冰片糖、酸梅、柠檬、大蒜、辣椒、番茄酱、浓缩果汁、花生油、芝麻油、香辛料、酵母抽提物、食品添加剂等配料，经煮制、灭菌后，灌装而成。</w:t>
      </w:r>
    </w:p>
    <w:p>
      <w:pPr>
        <w:spacing w:line="60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盐焗鸡粉：以广东地区制作工艺和风味特色为代表的特色广式固态复合调味料。以食用盐、沙姜粉、味精为主要原料，添加或不添加食用淀粉、香辛料粉、辣椒粉、姜黄等辅料，经混合、包装等工艺制成。</w:t>
      </w:r>
    </w:p>
    <w:p>
      <w:pPr>
        <w:spacing w:line="60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其他调味品：以广东地区工艺制作，具有广式风味特色的其他调味品。</w:t>
      </w:r>
    </w:p>
    <w:p>
      <w:pPr>
        <w:spacing w:line="600" w:lineRule="exact"/>
        <w:ind w:firstLine="643" w:firstLineChars="200"/>
        <w:rPr>
          <w:rFonts w:hint="default" w:ascii="Times New Roman" w:hAnsi="Times New Roman" w:eastAsia="方正仿宋_GBK" w:cs="Times New Roman"/>
          <w:b/>
          <w:sz w:val="32"/>
          <w:szCs w:val="32"/>
        </w:rPr>
      </w:pPr>
      <w:r>
        <w:rPr>
          <w:rFonts w:hint="default" w:ascii="Times New Roman" w:hAnsi="Times New Roman" w:eastAsia="方正仿宋_GBK" w:cs="Times New Roman"/>
          <w:b/>
          <w:sz w:val="32"/>
          <w:szCs w:val="32"/>
        </w:rPr>
        <w:t>3.5  产品品质要求</w:t>
      </w:r>
    </w:p>
    <w:p>
      <w:pPr>
        <w:spacing w:line="60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申请认证产品应具备当地风味和口感特色，品质应符合或优于下列要求。</w:t>
      </w:r>
    </w:p>
    <w:p>
      <w:pPr>
        <w:spacing w:line="60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3.5.1感官指标要求</w:t>
      </w:r>
    </w:p>
    <w:p>
      <w:pPr>
        <w:spacing w:line="60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调味品的感官指标应符合表1-3要求。</w:t>
      </w:r>
    </w:p>
    <w:p>
      <w:pPr>
        <w:spacing w:line="600" w:lineRule="exact"/>
        <w:ind w:firstLine="640" w:firstLineChars="200"/>
        <w:rPr>
          <w:rFonts w:hint="default" w:ascii="Times New Roman" w:hAnsi="Times New Roman" w:eastAsia="方正仿宋_GBK" w:cs="Times New Roman"/>
          <w:sz w:val="32"/>
          <w:szCs w:val="32"/>
        </w:rPr>
      </w:pPr>
    </w:p>
    <w:p>
      <w:pPr>
        <w:spacing w:line="360" w:lineRule="auto"/>
        <w:ind w:firstLine="640" w:firstLineChars="200"/>
        <w:jc w:val="cente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表1 酱油品质指标要求</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6"/>
        <w:gridCol w:w="65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66" w:type="dxa"/>
            <w:noWrap w:val="0"/>
            <w:vAlign w:val="center"/>
          </w:tcPr>
          <w:p>
            <w:pPr>
              <w:adjustRightInd w:val="0"/>
              <w:snapToGrid w:val="0"/>
              <w:spacing w:line="300" w:lineRule="auto"/>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项目</w:t>
            </w:r>
          </w:p>
        </w:tc>
        <w:tc>
          <w:tcPr>
            <w:tcW w:w="6597" w:type="dxa"/>
            <w:noWrap w:val="0"/>
            <w:vAlign w:val="center"/>
          </w:tcPr>
          <w:p>
            <w:pPr>
              <w:adjustRightInd w:val="0"/>
              <w:snapToGrid w:val="0"/>
              <w:spacing w:line="300" w:lineRule="auto"/>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指标要求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66" w:type="dxa"/>
            <w:noWrap w:val="0"/>
            <w:vAlign w:val="center"/>
          </w:tcPr>
          <w:p>
            <w:pPr>
              <w:widowControl/>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kern w:val="0"/>
                <w:sz w:val="28"/>
                <w:szCs w:val="28"/>
                <w:lang w:bidi="ar"/>
              </w:rPr>
              <w:t>色泽</w:t>
            </w:r>
          </w:p>
        </w:tc>
        <w:tc>
          <w:tcPr>
            <w:tcW w:w="6597" w:type="dxa"/>
            <w:noWrap w:val="0"/>
            <w:vAlign w:val="center"/>
          </w:tcPr>
          <w:p>
            <w:pPr>
              <w:widowControl/>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kern w:val="0"/>
                <w:sz w:val="28"/>
                <w:szCs w:val="28"/>
                <w:lang w:bidi="ar"/>
              </w:rPr>
              <w:t>色泽呈棕红色，具有光泽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66" w:type="dxa"/>
            <w:noWrap w:val="0"/>
            <w:vAlign w:val="center"/>
          </w:tcPr>
          <w:p>
            <w:pPr>
              <w:widowControl/>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kern w:val="0"/>
                <w:sz w:val="28"/>
                <w:szCs w:val="28"/>
                <w:lang w:bidi="ar"/>
              </w:rPr>
              <w:t>气味</w:t>
            </w:r>
          </w:p>
        </w:tc>
        <w:tc>
          <w:tcPr>
            <w:tcW w:w="6597" w:type="dxa"/>
            <w:noWrap w:val="0"/>
            <w:vAlign w:val="center"/>
          </w:tcPr>
          <w:p>
            <w:pPr>
              <w:widowControl/>
              <w:jc w:val="center"/>
              <w:textAlignment w:val="center"/>
              <w:rPr>
                <w:rFonts w:hint="default" w:ascii="Times New Roman" w:hAnsi="Times New Roman" w:eastAsia="方正仿宋_GBK" w:cs="Times New Roman"/>
                <w:kern w:val="0"/>
                <w:sz w:val="28"/>
                <w:szCs w:val="28"/>
                <w:lang w:bidi="ar"/>
              </w:rPr>
            </w:pPr>
            <w:r>
              <w:rPr>
                <w:rFonts w:hint="default" w:ascii="Times New Roman" w:hAnsi="Times New Roman" w:eastAsia="方正仿宋_GBK" w:cs="Times New Roman"/>
                <w:kern w:val="0"/>
                <w:sz w:val="28"/>
                <w:szCs w:val="28"/>
                <w:lang w:bidi="ar"/>
              </w:rPr>
              <w:t>浓郁豉香或酱香，并带有酯香；无不良气味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66" w:type="dxa"/>
            <w:noWrap w:val="0"/>
            <w:vAlign w:val="center"/>
          </w:tcPr>
          <w:p>
            <w:pPr>
              <w:widowControl/>
              <w:jc w:val="center"/>
              <w:textAlignment w:val="center"/>
              <w:rPr>
                <w:rFonts w:hint="default" w:ascii="Times New Roman" w:hAnsi="Times New Roman" w:eastAsia="方正仿宋_GBK" w:cs="Times New Roman"/>
                <w:kern w:val="0"/>
                <w:sz w:val="28"/>
                <w:szCs w:val="28"/>
                <w:lang w:bidi="ar"/>
              </w:rPr>
            </w:pPr>
            <w:r>
              <w:rPr>
                <w:rFonts w:hint="default" w:ascii="Times New Roman" w:hAnsi="Times New Roman" w:eastAsia="方正仿宋_GBK" w:cs="Times New Roman"/>
                <w:kern w:val="0"/>
                <w:sz w:val="28"/>
                <w:szCs w:val="28"/>
                <w:lang w:bidi="ar"/>
              </w:rPr>
              <w:t>滋味</w:t>
            </w:r>
          </w:p>
        </w:tc>
        <w:tc>
          <w:tcPr>
            <w:tcW w:w="6597" w:type="dxa"/>
            <w:noWrap w:val="0"/>
            <w:vAlign w:val="center"/>
          </w:tcPr>
          <w:p>
            <w:pPr>
              <w:widowControl/>
              <w:jc w:val="center"/>
              <w:textAlignment w:val="center"/>
              <w:rPr>
                <w:rFonts w:hint="default" w:ascii="Times New Roman" w:hAnsi="Times New Roman" w:eastAsia="方正仿宋_GBK" w:cs="Times New Roman"/>
                <w:kern w:val="0"/>
                <w:sz w:val="28"/>
                <w:szCs w:val="28"/>
                <w:lang w:bidi="ar"/>
              </w:rPr>
            </w:pPr>
            <w:r>
              <w:rPr>
                <w:rFonts w:hint="default" w:ascii="Times New Roman" w:hAnsi="Times New Roman" w:eastAsia="方正仿宋_GBK" w:cs="Times New Roman"/>
                <w:kern w:val="0"/>
                <w:sz w:val="28"/>
                <w:szCs w:val="28"/>
                <w:lang w:bidi="ar"/>
              </w:rPr>
              <w:t>味鲜美、醇厚，咸鲜，甜味适口，鲜味特出，咸味适中，后味丰富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66" w:type="dxa"/>
            <w:noWrap w:val="0"/>
            <w:vAlign w:val="center"/>
          </w:tcPr>
          <w:p>
            <w:pPr>
              <w:widowControl/>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kern w:val="0"/>
                <w:sz w:val="28"/>
                <w:szCs w:val="28"/>
                <w:lang w:bidi="ar"/>
              </w:rPr>
              <w:t>状态</w:t>
            </w:r>
          </w:p>
        </w:tc>
        <w:tc>
          <w:tcPr>
            <w:tcW w:w="6597" w:type="dxa"/>
            <w:noWrap w:val="0"/>
            <w:vAlign w:val="center"/>
          </w:tcPr>
          <w:p>
            <w:pPr>
              <w:widowControl/>
              <w:jc w:val="center"/>
              <w:textAlignment w:val="center"/>
              <w:rPr>
                <w:rFonts w:hint="default" w:ascii="Times New Roman" w:hAnsi="Times New Roman" w:eastAsia="方正仿宋_GBK" w:cs="Times New Roman"/>
                <w:kern w:val="0"/>
                <w:sz w:val="28"/>
                <w:szCs w:val="28"/>
                <w:lang w:bidi="ar"/>
              </w:rPr>
            </w:pPr>
            <w:r>
              <w:rPr>
                <w:rFonts w:hint="default" w:ascii="Times New Roman" w:hAnsi="Times New Roman" w:eastAsia="方正仿宋_GBK" w:cs="Times New Roman"/>
                <w:kern w:val="0"/>
                <w:sz w:val="28"/>
                <w:szCs w:val="28"/>
                <w:lang w:bidi="ar"/>
              </w:rPr>
              <w:t>澄清</w:t>
            </w:r>
          </w:p>
        </w:tc>
      </w:tr>
    </w:tbl>
    <w:p>
      <w:pPr>
        <w:spacing w:line="360" w:lineRule="auto"/>
        <w:ind w:firstLine="640" w:firstLineChars="200"/>
        <w:jc w:val="center"/>
        <w:rPr>
          <w:rFonts w:hint="default" w:ascii="Times New Roman" w:hAnsi="Times New Roman" w:eastAsia="方正仿宋_GBK" w:cs="Times New Roman"/>
          <w:kern w:val="0"/>
          <w:szCs w:val="32"/>
          <w:lang w:bidi="ar"/>
        </w:rPr>
      </w:pPr>
      <w:r>
        <w:rPr>
          <w:rFonts w:hint="default" w:ascii="Times New Roman" w:hAnsi="Times New Roman" w:eastAsia="方正仿宋_GBK" w:cs="Times New Roman"/>
          <w:sz w:val="32"/>
          <w:szCs w:val="32"/>
        </w:rPr>
        <w:t>表2 食醋品质指标要求</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3"/>
        <w:gridCol w:w="3119"/>
        <w:gridCol w:w="34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63" w:type="dxa"/>
            <w:vMerge w:val="restart"/>
            <w:noWrap w:val="0"/>
            <w:vAlign w:val="center"/>
          </w:tcPr>
          <w:p>
            <w:pPr>
              <w:adjustRightInd w:val="0"/>
              <w:snapToGrid w:val="0"/>
              <w:spacing w:line="300" w:lineRule="auto"/>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项目</w:t>
            </w:r>
          </w:p>
        </w:tc>
        <w:tc>
          <w:tcPr>
            <w:tcW w:w="6595" w:type="dxa"/>
            <w:gridSpan w:val="2"/>
            <w:noWrap w:val="0"/>
            <w:vAlign w:val="center"/>
          </w:tcPr>
          <w:p>
            <w:pPr>
              <w:adjustRightInd w:val="0"/>
              <w:snapToGrid w:val="0"/>
              <w:spacing w:line="300" w:lineRule="auto"/>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指标要求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63" w:type="dxa"/>
            <w:vMerge w:val="continue"/>
            <w:noWrap w:val="0"/>
            <w:vAlign w:val="center"/>
          </w:tcPr>
          <w:p>
            <w:pPr>
              <w:adjustRightInd w:val="0"/>
              <w:snapToGrid w:val="0"/>
              <w:spacing w:line="300" w:lineRule="auto"/>
              <w:jc w:val="center"/>
              <w:rPr>
                <w:rFonts w:hint="default" w:ascii="Times New Roman" w:hAnsi="Times New Roman" w:eastAsia="方正仿宋_GBK" w:cs="Times New Roman"/>
                <w:sz w:val="28"/>
                <w:szCs w:val="28"/>
              </w:rPr>
            </w:pPr>
          </w:p>
        </w:tc>
        <w:tc>
          <w:tcPr>
            <w:tcW w:w="3119" w:type="dxa"/>
            <w:noWrap w:val="0"/>
            <w:vAlign w:val="center"/>
          </w:tcPr>
          <w:p>
            <w:pPr>
              <w:adjustRightInd w:val="0"/>
              <w:snapToGrid w:val="0"/>
              <w:spacing w:line="300" w:lineRule="auto"/>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食醋</w:t>
            </w:r>
          </w:p>
        </w:tc>
        <w:tc>
          <w:tcPr>
            <w:tcW w:w="3476" w:type="dxa"/>
            <w:noWrap w:val="0"/>
            <w:vAlign w:val="center"/>
          </w:tcPr>
          <w:p>
            <w:pPr>
              <w:adjustRightInd w:val="0"/>
              <w:snapToGrid w:val="0"/>
              <w:spacing w:line="300" w:lineRule="auto"/>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甜醋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63" w:type="dxa"/>
            <w:noWrap w:val="0"/>
            <w:vAlign w:val="center"/>
          </w:tcPr>
          <w:p>
            <w:pPr>
              <w:widowControl/>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kern w:val="0"/>
                <w:sz w:val="28"/>
                <w:szCs w:val="28"/>
                <w:lang w:bidi="ar"/>
              </w:rPr>
              <w:t>色泽</w:t>
            </w:r>
          </w:p>
        </w:tc>
        <w:tc>
          <w:tcPr>
            <w:tcW w:w="6595" w:type="dxa"/>
            <w:gridSpan w:val="2"/>
            <w:noWrap w:val="0"/>
            <w:vAlign w:val="center"/>
          </w:tcPr>
          <w:p>
            <w:pPr>
              <w:widowControl/>
              <w:jc w:val="center"/>
              <w:textAlignment w:val="center"/>
              <w:rPr>
                <w:rFonts w:hint="default" w:ascii="Times New Roman" w:hAnsi="Times New Roman" w:eastAsia="方正仿宋_GBK" w:cs="Times New Roman"/>
                <w:kern w:val="0"/>
                <w:sz w:val="28"/>
                <w:szCs w:val="28"/>
                <w:lang w:bidi="ar"/>
              </w:rPr>
            </w:pPr>
            <w:r>
              <w:rPr>
                <w:rFonts w:hint="default" w:ascii="Times New Roman" w:hAnsi="Times New Roman" w:eastAsia="方正仿宋_GBK" w:cs="Times New Roman"/>
                <w:kern w:val="0"/>
                <w:sz w:val="28"/>
                <w:szCs w:val="28"/>
                <w:lang w:bidi="ar"/>
              </w:rPr>
              <w:t>色泽呈琥珀色或红棕色，具有光泽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63" w:type="dxa"/>
            <w:noWrap w:val="0"/>
            <w:vAlign w:val="center"/>
          </w:tcPr>
          <w:p>
            <w:pPr>
              <w:widowControl/>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kern w:val="0"/>
                <w:sz w:val="28"/>
                <w:szCs w:val="28"/>
                <w:lang w:bidi="ar"/>
              </w:rPr>
              <w:t>气味</w:t>
            </w:r>
          </w:p>
        </w:tc>
        <w:tc>
          <w:tcPr>
            <w:tcW w:w="3119" w:type="dxa"/>
            <w:noWrap w:val="0"/>
            <w:vAlign w:val="center"/>
          </w:tcPr>
          <w:p>
            <w:pPr>
              <w:widowControl/>
              <w:jc w:val="center"/>
              <w:textAlignment w:val="center"/>
              <w:rPr>
                <w:rFonts w:hint="default" w:ascii="Times New Roman" w:hAnsi="Times New Roman" w:eastAsia="方正仿宋_GBK" w:cs="Times New Roman"/>
                <w:kern w:val="0"/>
                <w:sz w:val="28"/>
                <w:szCs w:val="28"/>
                <w:lang w:bidi="ar"/>
              </w:rPr>
            </w:pPr>
            <w:r>
              <w:rPr>
                <w:rFonts w:hint="default" w:ascii="Times New Roman" w:hAnsi="Times New Roman" w:eastAsia="方正仿宋_GBK" w:cs="Times New Roman"/>
                <w:kern w:val="0"/>
                <w:sz w:val="28"/>
                <w:szCs w:val="28"/>
                <w:lang w:bidi="ar"/>
              </w:rPr>
              <w:t>具有食醋特有的香气</w:t>
            </w:r>
          </w:p>
        </w:tc>
        <w:tc>
          <w:tcPr>
            <w:tcW w:w="3476" w:type="dxa"/>
            <w:noWrap w:val="0"/>
            <w:vAlign w:val="center"/>
          </w:tcPr>
          <w:p>
            <w:pPr>
              <w:widowControl/>
              <w:jc w:val="center"/>
              <w:textAlignment w:val="center"/>
              <w:rPr>
                <w:rFonts w:hint="default" w:ascii="Times New Roman" w:hAnsi="Times New Roman" w:eastAsia="方正仿宋_GBK" w:cs="Times New Roman"/>
                <w:kern w:val="0"/>
                <w:sz w:val="28"/>
                <w:szCs w:val="28"/>
                <w:lang w:bidi="ar"/>
              </w:rPr>
            </w:pPr>
            <w:r>
              <w:rPr>
                <w:rFonts w:hint="default" w:ascii="Times New Roman" w:hAnsi="Times New Roman" w:eastAsia="方正仿宋_GBK" w:cs="Times New Roman"/>
                <w:kern w:val="0"/>
                <w:sz w:val="28"/>
                <w:szCs w:val="28"/>
                <w:lang w:bidi="ar"/>
              </w:rPr>
              <w:t>香辛料的特殊气味浓厚，并带有食醋的酸味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63" w:type="dxa"/>
            <w:noWrap w:val="0"/>
            <w:vAlign w:val="center"/>
          </w:tcPr>
          <w:p>
            <w:pPr>
              <w:widowControl/>
              <w:jc w:val="center"/>
              <w:textAlignment w:val="center"/>
              <w:rPr>
                <w:rFonts w:hint="default" w:ascii="Times New Roman" w:hAnsi="Times New Roman" w:eastAsia="方正仿宋_GBK" w:cs="Times New Roman"/>
                <w:kern w:val="0"/>
                <w:sz w:val="28"/>
                <w:szCs w:val="28"/>
                <w:lang w:bidi="ar"/>
              </w:rPr>
            </w:pPr>
            <w:r>
              <w:rPr>
                <w:rFonts w:hint="default" w:ascii="Times New Roman" w:hAnsi="Times New Roman" w:eastAsia="方正仿宋_GBK" w:cs="Times New Roman"/>
                <w:kern w:val="0"/>
                <w:sz w:val="28"/>
                <w:szCs w:val="28"/>
                <w:lang w:bidi="ar"/>
              </w:rPr>
              <w:t>滋味</w:t>
            </w:r>
          </w:p>
        </w:tc>
        <w:tc>
          <w:tcPr>
            <w:tcW w:w="3119" w:type="dxa"/>
            <w:noWrap w:val="0"/>
            <w:vAlign w:val="center"/>
          </w:tcPr>
          <w:p>
            <w:pPr>
              <w:widowControl/>
              <w:jc w:val="center"/>
              <w:textAlignment w:val="center"/>
              <w:rPr>
                <w:rFonts w:hint="default" w:ascii="Times New Roman" w:hAnsi="Times New Roman" w:eastAsia="方正仿宋_GBK" w:cs="Times New Roman"/>
                <w:kern w:val="0"/>
                <w:sz w:val="28"/>
                <w:szCs w:val="28"/>
                <w:lang w:bidi="ar"/>
              </w:rPr>
            </w:pPr>
            <w:r>
              <w:rPr>
                <w:rFonts w:hint="default" w:ascii="Times New Roman" w:hAnsi="Times New Roman" w:eastAsia="方正仿宋_GBK" w:cs="Times New Roman"/>
                <w:kern w:val="0"/>
                <w:sz w:val="28"/>
                <w:szCs w:val="28"/>
                <w:lang w:bidi="ar"/>
              </w:rPr>
              <w:t>酸味柔和，回味绵长，无异味</w:t>
            </w:r>
          </w:p>
        </w:tc>
        <w:tc>
          <w:tcPr>
            <w:tcW w:w="3476" w:type="dxa"/>
            <w:noWrap w:val="0"/>
            <w:vAlign w:val="center"/>
          </w:tcPr>
          <w:p>
            <w:pPr>
              <w:widowControl/>
              <w:jc w:val="center"/>
              <w:textAlignment w:val="center"/>
              <w:rPr>
                <w:rFonts w:hint="default" w:ascii="Times New Roman" w:hAnsi="Times New Roman" w:eastAsia="方正仿宋_GBK" w:cs="Times New Roman"/>
                <w:kern w:val="0"/>
                <w:sz w:val="28"/>
                <w:szCs w:val="28"/>
                <w:lang w:bidi="ar"/>
              </w:rPr>
            </w:pPr>
            <w:r>
              <w:rPr>
                <w:rFonts w:hint="default" w:ascii="Times New Roman" w:hAnsi="Times New Roman" w:eastAsia="方正仿宋_GBK" w:cs="Times New Roman"/>
                <w:kern w:val="0"/>
                <w:sz w:val="28"/>
                <w:szCs w:val="28"/>
                <w:lang w:bidi="ar"/>
              </w:rPr>
              <w:t>味道酸甜适中，具有浓厚、特色的香辛料甘甜风味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63" w:type="dxa"/>
            <w:noWrap w:val="0"/>
            <w:vAlign w:val="center"/>
          </w:tcPr>
          <w:p>
            <w:pPr>
              <w:widowControl/>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kern w:val="0"/>
                <w:sz w:val="28"/>
                <w:szCs w:val="28"/>
                <w:lang w:bidi="ar"/>
              </w:rPr>
              <w:t>状态</w:t>
            </w:r>
          </w:p>
        </w:tc>
        <w:tc>
          <w:tcPr>
            <w:tcW w:w="6595" w:type="dxa"/>
            <w:gridSpan w:val="2"/>
            <w:noWrap w:val="0"/>
            <w:vAlign w:val="center"/>
          </w:tcPr>
          <w:p>
            <w:pPr>
              <w:widowControl/>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kern w:val="0"/>
                <w:sz w:val="28"/>
                <w:szCs w:val="28"/>
                <w:lang w:bidi="ar"/>
              </w:rPr>
              <w:t>状态澄清、均一，可有少量沉淀，无正常视力可见外来异物</w:t>
            </w:r>
          </w:p>
        </w:tc>
      </w:tr>
    </w:tbl>
    <w:p>
      <w:pPr>
        <w:pStyle w:val="2"/>
        <w:jc w:val="center"/>
        <w:rPr>
          <w:rFonts w:hint="default" w:ascii="Times New Roman" w:hAnsi="Times New Roman" w:eastAsia="方正仿宋_GBK" w:cs="Times New Roman"/>
          <w:kern w:val="0"/>
          <w:szCs w:val="32"/>
          <w:lang w:bidi="ar"/>
        </w:rPr>
      </w:pPr>
    </w:p>
    <w:p>
      <w:pPr>
        <w:spacing w:line="360" w:lineRule="auto"/>
        <w:ind w:firstLine="640" w:firstLineChars="200"/>
        <w:jc w:val="cente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表3 调味料品质指标要求</w:t>
      </w:r>
    </w:p>
    <w:tbl>
      <w:tblPr>
        <w:tblStyle w:val="3"/>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85"/>
        <w:gridCol w:w="68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95" w:type="dxa"/>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项目</w:t>
            </w:r>
          </w:p>
        </w:tc>
        <w:tc>
          <w:tcPr>
            <w:tcW w:w="6288" w:type="dxa"/>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指标要求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95" w:type="dxa"/>
            <w:noWrap w:val="0"/>
            <w:vAlign w:val="center"/>
          </w:tcPr>
          <w:p>
            <w:pPr>
              <w:widowControl/>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kern w:val="0"/>
                <w:sz w:val="28"/>
                <w:szCs w:val="28"/>
                <w:lang w:bidi="ar"/>
              </w:rPr>
              <w:t>色泽</w:t>
            </w:r>
          </w:p>
        </w:tc>
        <w:tc>
          <w:tcPr>
            <w:tcW w:w="6288" w:type="dxa"/>
            <w:noWrap w:val="0"/>
            <w:vAlign w:val="center"/>
          </w:tcPr>
          <w:p>
            <w:pPr>
              <w:widowControl/>
              <w:jc w:val="center"/>
              <w:textAlignment w:val="center"/>
              <w:rPr>
                <w:rFonts w:hint="default" w:ascii="Times New Roman" w:hAnsi="Times New Roman" w:eastAsia="方正仿宋_GBK" w:cs="Times New Roman"/>
                <w:kern w:val="0"/>
                <w:sz w:val="28"/>
                <w:szCs w:val="28"/>
                <w:lang w:bidi="ar"/>
              </w:rPr>
            </w:pPr>
            <w:r>
              <w:rPr>
                <w:rFonts w:hint="default" w:ascii="Times New Roman" w:hAnsi="Times New Roman" w:eastAsia="方正仿宋_GBK" w:cs="Times New Roman"/>
                <w:kern w:val="0"/>
                <w:sz w:val="28"/>
                <w:szCs w:val="28"/>
                <w:lang w:bidi="ar"/>
              </w:rPr>
              <w:t>符合执行标准对应产品类别色泽要求。</w:t>
            </w:r>
          </w:p>
          <w:p>
            <w:pPr>
              <w:widowControl/>
              <w:jc w:val="center"/>
              <w:textAlignment w:val="center"/>
              <w:rPr>
                <w:rFonts w:hint="default" w:ascii="Times New Roman" w:hAnsi="Times New Roman" w:eastAsia="方正仿宋_GBK" w:cs="Times New Roman"/>
                <w:kern w:val="0"/>
                <w:sz w:val="28"/>
                <w:szCs w:val="28"/>
                <w:lang w:bidi="ar"/>
              </w:rPr>
            </w:pPr>
            <w:r>
              <w:rPr>
                <w:rFonts w:hint="default" w:ascii="Times New Roman" w:hAnsi="Times New Roman" w:eastAsia="方正仿宋_GBK" w:cs="Times New Roman"/>
                <w:kern w:val="0"/>
                <w:sz w:val="28"/>
                <w:szCs w:val="28"/>
                <w:lang w:bidi="ar"/>
              </w:rPr>
              <w:t>其中海鲜酱为鲜红至棕咖色；柱候酱为棕红至棕褐色，具有光泽；盐焗鸡粉为微黄色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95" w:type="dxa"/>
            <w:noWrap w:val="0"/>
            <w:vAlign w:val="center"/>
          </w:tcPr>
          <w:p>
            <w:pPr>
              <w:widowControl/>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kern w:val="0"/>
                <w:sz w:val="28"/>
                <w:szCs w:val="28"/>
                <w:lang w:bidi="ar"/>
              </w:rPr>
              <w:t>气味、滋味</w:t>
            </w:r>
          </w:p>
        </w:tc>
        <w:tc>
          <w:tcPr>
            <w:tcW w:w="6288" w:type="dxa"/>
            <w:noWrap w:val="0"/>
            <w:vAlign w:val="center"/>
          </w:tcPr>
          <w:p>
            <w:pPr>
              <w:widowControl/>
              <w:jc w:val="center"/>
              <w:textAlignment w:val="center"/>
              <w:rPr>
                <w:rFonts w:hint="default" w:ascii="Times New Roman" w:hAnsi="Times New Roman" w:eastAsia="方正仿宋_GBK" w:cs="Times New Roman"/>
                <w:kern w:val="0"/>
                <w:sz w:val="28"/>
                <w:szCs w:val="28"/>
                <w:lang w:bidi="ar"/>
              </w:rPr>
            </w:pPr>
            <w:r>
              <w:rPr>
                <w:rFonts w:hint="default" w:ascii="Times New Roman" w:hAnsi="Times New Roman" w:eastAsia="方正仿宋_GBK" w:cs="Times New Roman"/>
                <w:kern w:val="0"/>
                <w:sz w:val="28"/>
                <w:szCs w:val="28"/>
                <w:lang w:bidi="ar"/>
              </w:rPr>
              <w:t>符合执行标准对应产品类别气味、滋味要求。</w:t>
            </w:r>
          </w:p>
          <w:p>
            <w:pPr>
              <w:widowControl/>
              <w:jc w:val="center"/>
              <w:textAlignment w:val="center"/>
              <w:rPr>
                <w:rFonts w:hint="default" w:ascii="Times New Roman" w:hAnsi="Times New Roman" w:eastAsia="方正仿宋_GBK" w:cs="Times New Roman"/>
                <w:kern w:val="0"/>
                <w:sz w:val="28"/>
                <w:szCs w:val="28"/>
                <w:lang w:bidi="ar"/>
              </w:rPr>
            </w:pPr>
            <w:r>
              <w:rPr>
                <w:rFonts w:hint="default" w:ascii="Times New Roman" w:hAnsi="Times New Roman" w:eastAsia="方正仿宋_GBK" w:cs="Times New Roman"/>
                <w:kern w:val="0"/>
                <w:sz w:val="28"/>
                <w:szCs w:val="28"/>
                <w:lang w:bidi="ar"/>
              </w:rPr>
              <w:t>其中海鲜酱具有浓郁的酱香以及特有的香辛料香气，味甜；柱候酱具有浓郁的酱香以及特有的香辛料香气，味道鲜甜、咸味适中；盐焗鸡粉具有产品特有的香气（沙姜辛香味），味鲜美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95" w:type="dxa"/>
            <w:noWrap w:val="0"/>
            <w:vAlign w:val="center"/>
          </w:tcPr>
          <w:p>
            <w:pPr>
              <w:widowControl/>
              <w:jc w:val="center"/>
              <w:textAlignment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kern w:val="0"/>
                <w:sz w:val="28"/>
                <w:szCs w:val="28"/>
                <w:lang w:bidi="ar"/>
              </w:rPr>
              <w:t>状态</w:t>
            </w:r>
          </w:p>
        </w:tc>
        <w:tc>
          <w:tcPr>
            <w:tcW w:w="6288" w:type="dxa"/>
            <w:noWrap w:val="0"/>
            <w:vAlign w:val="center"/>
          </w:tcPr>
          <w:p>
            <w:pPr>
              <w:widowControl/>
              <w:jc w:val="center"/>
              <w:textAlignment w:val="center"/>
              <w:rPr>
                <w:rFonts w:hint="default" w:ascii="Times New Roman" w:hAnsi="Times New Roman" w:eastAsia="方正仿宋_GBK" w:cs="Times New Roman"/>
                <w:kern w:val="0"/>
                <w:sz w:val="28"/>
                <w:szCs w:val="28"/>
                <w:lang w:bidi="ar"/>
              </w:rPr>
            </w:pPr>
            <w:r>
              <w:rPr>
                <w:rFonts w:hint="default" w:ascii="Times New Roman" w:hAnsi="Times New Roman" w:eastAsia="方正仿宋_GBK" w:cs="Times New Roman"/>
                <w:kern w:val="0"/>
                <w:sz w:val="28"/>
                <w:szCs w:val="28"/>
                <w:lang w:bidi="ar"/>
              </w:rPr>
              <w:t>符合执行标准对应产品类别状态要求。</w:t>
            </w:r>
          </w:p>
          <w:p>
            <w:pPr>
              <w:widowControl/>
              <w:jc w:val="center"/>
              <w:textAlignment w:val="center"/>
              <w:rPr>
                <w:rFonts w:hint="default" w:ascii="Times New Roman" w:hAnsi="Times New Roman" w:eastAsia="方正仿宋_GBK" w:cs="Times New Roman"/>
                <w:kern w:val="0"/>
                <w:sz w:val="28"/>
                <w:szCs w:val="28"/>
                <w:lang w:bidi="ar"/>
              </w:rPr>
            </w:pPr>
            <w:r>
              <w:rPr>
                <w:rFonts w:hint="default" w:ascii="Times New Roman" w:hAnsi="Times New Roman" w:eastAsia="方正仿宋_GBK" w:cs="Times New Roman"/>
                <w:kern w:val="0"/>
                <w:sz w:val="28"/>
                <w:szCs w:val="28"/>
                <w:lang w:bidi="ar"/>
              </w:rPr>
              <w:t>其中柱侯酱和海鲜酱为均一、幼滑、细腻的酱体，粘稠度适中，具有一定流动性；盐焗鸡粉为粉状，疏松不结团</w:t>
            </w:r>
          </w:p>
        </w:tc>
      </w:tr>
    </w:tbl>
    <w:p>
      <w:pPr>
        <w:spacing w:line="60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3.5.2品质理化指标要求</w:t>
      </w:r>
    </w:p>
    <w:p>
      <w:pPr>
        <w:spacing w:line="60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调味品的品质理化指标应符合表4-6要求。</w:t>
      </w:r>
    </w:p>
    <w:p>
      <w:pPr>
        <w:spacing w:line="360" w:lineRule="auto"/>
        <w:ind w:firstLine="640" w:firstLineChars="200"/>
        <w:jc w:val="cente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表4 酱油品质理化指标要求</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13"/>
        <w:gridCol w:w="49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13" w:type="dxa"/>
            <w:noWrap w:val="0"/>
            <w:vAlign w:val="center"/>
          </w:tcPr>
          <w:p>
            <w:pPr>
              <w:adjustRightInd w:val="0"/>
              <w:snapToGrid w:val="0"/>
              <w:spacing w:line="300" w:lineRule="auto"/>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项目</w:t>
            </w:r>
          </w:p>
        </w:tc>
        <w:tc>
          <w:tcPr>
            <w:tcW w:w="4950" w:type="dxa"/>
            <w:noWrap w:val="0"/>
            <w:vAlign w:val="center"/>
          </w:tcPr>
          <w:p>
            <w:pPr>
              <w:adjustRightInd w:val="0"/>
              <w:snapToGrid w:val="0"/>
              <w:spacing w:line="300" w:lineRule="auto"/>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指标要求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13" w:type="dxa"/>
            <w:noWrap w:val="0"/>
            <w:vAlign w:val="center"/>
          </w:tcPr>
          <w:p>
            <w:pPr>
              <w:adjustRightInd w:val="0"/>
              <w:snapToGrid w:val="0"/>
              <w:spacing w:line="300" w:lineRule="auto"/>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氨基酸态氮（g/100mL）       ≥</w:t>
            </w:r>
          </w:p>
        </w:tc>
        <w:tc>
          <w:tcPr>
            <w:tcW w:w="4950" w:type="dxa"/>
            <w:noWrap w:val="0"/>
            <w:vAlign w:val="center"/>
          </w:tcPr>
          <w:p>
            <w:pPr>
              <w:adjustRightInd w:val="0"/>
              <w:snapToGrid w:val="0"/>
              <w:spacing w:line="300" w:lineRule="auto"/>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13" w:type="dxa"/>
            <w:noWrap w:val="0"/>
            <w:vAlign w:val="center"/>
          </w:tcPr>
          <w:p>
            <w:pPr>
              <w:adjustRightInd w:val="0"/>
              <w:snapToGrid w:val="0"/>
              <w:spacing w:line="300" w:lineRule="auto"/>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全氮（以氮计）（g/100mL）   ≥</w:t>
            </w:r>
          </w:p>
        </w:tc>
        <w:tc>
          <w:tcPr>
            <w:tcW w:w="4950" w:type="dxa"/>
            <w:noWrap w:val="0"/>
            <w:vAlign w:val="center"/>
          </w:tcPr>
          <w:p>
            <w:pPr>
              <w:adjustRightInd w:val="0"/>
              <w:snapToGrid w:val="0"/>
              <w:spacing w:line="300" w:lineRule="auto"/>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13" w:type="dxa"/>
            <w:noWrap w:val="0"/>
            <w:vAlign w:val="center"/>
          </w:tcPr>
          <w:p>
            <w:pPr>
              <w:adjustRightInd w:val="0"/>
              <w:snapToGrid w:val="0"/>
              <w:spacing w:line="300" w:lineRule="auto"/>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可溶性无机盐固形物（g/100mL）   ≥</w:t>
            </w:r>
          </w:p>
        </w:tc>
        <w:tc>
          <w:tcPr>
            <w:tcW w:w="4950" w:type="dxa"/>
            <w:noWrap w:val="0"/>
            <w:vAlign w:val="center"/>
          </w:tcPr>
          <w:p>
            <w:pPr>
              <w:adjustRightInd w:val="0"/>
              <w:snapToGrid w:val="0"/>
              <w:spacing w:line="300" w:lineRule="auto"/>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13" w:type="dxa"/>
            <w:noWrap w:val="0"/>
            <w:vAlign w:val="center"/>
          </w:tcPr>
          <w:p>
            <w:pPr>
              <w:adjustRightInd w:val="0"/>
              <w:snapToGrid w:val="0"/>
              <w:spacing w:line="300" w:lineRule="auto"/>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铵盐</w:t>
            </w:r>
          </w:p>
        </w:tc>
        <w:tc>
          <w:tcPr>
            <w:tcW w:w="4950" w:type="dxa"/>
            <w:noWrap w:val="0"/>
            <w:vAlign w:val="center"/>
          </w:tcPr>
          <w:p>
            <w:pPr>
              <w:adjustRightInd w:val="0"/>
              <w:snapToGrid w:val="0"/>
              <w:spacing w:line="300" w:lineRule="auto"/>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不得超过氨基酸态氮含量的25%</w:t>
            </w:r>
          </w:p>
        </w:tc>
      </w:tr>
    </w:tbl>
    <w:p>
      <w:pPr>
        <w:spacing w:line="360" w:lineRule="auto"/>
        <w:ind w:firstLine="640" w:firstLineChars="200"/>
        <w:jc w:val="center"/>
        <w:rPr>
          <w:rFonts w:hint="default" w:ascii="Times New Roman" w:hAnsi="Times New Roman" w:eastAsia="方正仿宋_GBK" w:cs="Times New Roman"/>
          <w:kern w:val="0"/>
          <w:szCs w:val="32"/>
          <w:lang w:bidi="ar"/>
        </w:rPr>
      </w:pPr>
      <w:r>
        <w:rPr>
          <w:rFonts w:hint="default" w:ascii="Times New Roman" w:hAnsi="Times New Roman" w:eastAsia="方正仿宋_GBK" w:cs="Times New Roman"/>
          <w:sz w:val="32"/>
          <w:szCs w:val="32"/>
        </w:rPr>
        <w:t>表5 食醋品质理化指标要求</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13"/>
        <w:gridCol w:w="2988"/>
        <w:gridCol w:w="19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13" w:type="dxa"/>
            <w:vMerge w:val="restart"/>
            <w:noWrap w:val="0"/>
            <w:vAlign w:val="center"/>
          </w:tcPr>
          <w:p>
            <w:pPr>
              <w:adjustRightInd w:val="0"/>
              <w:snapToGrid w:val="0"/>
              <w:spacing w:line="300" w:lineRule="auto"/>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项目</w:t>
            </w:r>
          </w:p>
        </w:tc>
        <w:tc>
          <w:tcPr>
            <w:tcW w:w="4945" w:type="dxa"/>
            <w:gridSpan w:val="2"/>
            <w:noWrap w:val="0"/>
            <w:vAlign w:val="center"/>
          </w:tcPr>
          <w:p>
            <w:pPr>
              <w:adjustRightInd w:val="0"/>
              <w:snapToGrid w:val="0"/>
              <w:spacing w:line="300" w:lineRule="auto"/>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指标要求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13" w:type="dxa"/>
            <w:vMerge w:val="continue"/>
            <w:noWrap w:val="0"/>
            <w:vAlign w:val="center"/>
          </w:tcPr>
          <w:p>
            <w:pPr>
              <w:adjustRightInd w:val="0"/>
              <w:snapToGrid w:val="0"/>
              <w:spacing w:line="300" w:lineRule="auto"/>
              <w:jc w:val="center"/>
              <w:rPr>
                <w:rFonts w:hint="default" w:ascii="Times New Roman" w:hAnsi="Times New Roman" w:eastAsia="方正仿宋_GBK" w:cs="Times New Roman"/>
                <w:sz w:val="28"/>
                <w:szCs w:val="28"/>
              </w:rPr>
            </w:pPr>
          </w:p>
        </w:tc>
        <w:tc>
          <w:tcPr>
            <w:tcW w:w="2988" w:type="dxa"/>
            <w:noWrap w:val="0"/>
            <w:vAlign w:val="center"/>
          </w:tcPr>
          <w:p>
            <w:pPr>
              <w:adjustRightInd w:val="0"/>
              <w:snapToGrid w:val="0"/>
              <w:spacing w:line="300" w:lineRule="auto"/>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食醋</w:t>
            </w:r>
          </w:p>
        </w:tc>
        <w:tc>
          <w:tcPr>
            <w:tcW w:w="1957" w:type="dxa"/>
            <w:noWrap w:val="0"/>
            <w:vAlign w:val="center"/>
          </w:tcPr>
          <w:p>
            <w:pPr>
              <w:adjustRightInd w:val="0"/>
              <w:snapToGrid w:val="0"/>
              <w:spacing w:line="300" w:lineRule="auto"/>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甜醋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13" w:type="dxa"/>
            <w:noWrap w:val="0"/>
            <w:vAlign w:val="center"/>
          </w:tcPr>
          <w:p>
            <w:pPr>
              <w:adjustRightInd w:val="0"/>
              <w:snapToGrid w:val="0"/>
              <w:spacing w:line="300" w:lineRule="auto"/>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总酸（以乙酸计）（g/100mL）    ≥</w:t>
            </w:r>
          </w:p>
        </w:tc>
        <w:tc>
          <w:tcPr>
            <w:tcW w:w="2988" w:type="dxa"/>
            <w:noWrap w:val="0"/>
            <w:vAlign w:val="center"/>
          </w:tcPr>
          <w:p>
            <w:pPr>
              <w:adjustRightInd w:val="0"/>
              <w:snapToGrid w:val="0"/>
              <w:spacing w:line="300" w:lineRule="auto"/>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3.5</w:t>
            </w:r>
          </w:p>
        </w:tc>
        <w:tc>
          <w:tcPr>
            <w:tcW w:w="1957" w:type="dxa"/>
            <w:noWrap w:val="0"/>
            <w:vAlign w:val="center"/>
          </w:tcPr>
          <w:p>
            <w:pPr>
              <w:adjustRightInd w:val="0"/>
              <w:snapToGrid w:val="0"/>
              <w:spacing w:line="300" w:lineRule="auto"/>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13" w:type="dxa"/>
            <w:noWrap w:val="0"/>
            <w:vAlign w:val="center"/>
          </w:tcPr>
          <w:p>
            <w:pPr>
              <w:adjustRightInd w:val="0"/>
              <w:snapToGrid w:val="0"/>
              <w:spacing w:line="300" w:lineRule="auto"/>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不挥发酸（以乳酸计）（g/100mL）   ≥</w:t>
            </w:r>
          </w:p>
        </w:tc>
        <w:tc>
          <w:tcPr>
            <w:tcW w:w="2988" w:type="dxa"/>
            <w:noWrap w:val="0"/>
            <w:vAlign w:val="center"/>
          </w:tcPr>
          <w:p>
            <w:pPr>
              <w:adjustRightInd w:val="0"/>
              <w:snapToGrid w:val="0"/>
              <w:spacing w:line="300" w:lineRule="auto"/>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0.50（固态发酵食醋）</w:t>
            </w:r>
          </w:p>
        </w:tc>
        <w:tc>
          <w:tcPr>
            <w:tcW w:w="1957" w:type="dxa"/>
            <w:noWrap w:val="0"/>
            <w:vAlign w:val="center"/>
          </w:tcPr>
          <w:p>
            <w:pPr>
              <w:adjustRightInd w:val="0"/>
              <w:snapToGrid w:val="0"/>
              <w:spacing w:line="300" w:lineRule="auto"/>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13" w:type="dxa"/>
            <w:noWrap w:val="0"/>
            <w:vAlign w:val="center"/>
          </w:tcPr>
          <w:p>
            <w:pPr>
              <w:adjustRightInd w:val="0"/>
              <w:snapToGrid w:val="0"/>
              <w:spacing w:line="300" w:lineRule="auto"/>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可溶性无机盐固形物（g/100mL）   ≥</w:t>
            </w:r>
          </w:p>
        </w:tc>
        <w:tc>
          <w:tcPr>
            <w:tcW w:w="2988" w:type="dxa"/>
            <w:noWrap w:val="0"/>
            <w:vAlign w:val="center"/>
          </w:tcPr>
          <w:p>
            <w:pPr>
              <w:adjustRightInd w:val="0"/>
              <w:snapToGrid w:val="0"/>
              <w:spacing w:line="300" w:lineRule="auto"/>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1.0（固态发酵食醋）</w:t>
            </w:r>
          </w:p>
          <w:p>
            <w:pPr>
              <w:adjustRightInd w:val="0"/>
              <w:snapToGrid w:val="0"/>
              <w:spacing w:line="300" w:lineRule="auto"/>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0.50（液态发酵食醋）</w:t>
            </w:r>
          </w:p>
        </w:tc>
        <w:tc>
          <w:tcPr>
            <w:tcW w:w="1957" w:type="dxa"/>
            <w:noWrap w:val="0"/>
            <w:vAlign w:val="center"/>
          </w:tcPr>
          <w:p>
            <w:pPr>
              <w:adjustRightInd w:val="0"/>
              <w:snapToGrid w:val="0"/>
              <w:spacing w:line="300" w:lineRule="auto"/>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13" w:type="dxa"/>
            <w:noWrap w:val="0"/>
            <w:vAlign w:val="center"/>
          </w:tcPr>
          <w:p>
            <w:pPr>
              <w:adjustRightInd w:val="0"/>
              <w:snapToGrid w:val="0"/>
              <w:spacing w:line="300" w:lineRule="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总糖（g/100mL）               ≥</w:t>
            </w:r>
          </w:p>
        </w:tc>
        <w:tc>
          <w:tcPr>
            <w:tcW w:w="2988" w:type="dxa"/>
            <w:noWrap w:val="0"/>
            <w:vAlign w:val="center"/>
          </w:tcPr>
          <w:p>
            <w:pPr>
              <w:adjustRightInd w:val="0"/>
              <w:snapToGrid w:val="0"/>
              <w:spacing w:line="300" w:lineRule="auto"/>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w:t>
            </w:r>
          </w:p>
        </w:tc>
        <w:tc>
          <w:tcPr>
            <w:tcW w:w="1957" w:type="dxa"/>
            <w:noWrap w:val="0"/>
            <w:vAlign w:val="center"/>
          </w:tcPr>
          <w:p>
            <w:pPr>
              <w:adjustRightInd w:val="0"/>
              <w:snapToGrid w:val="0"/>
              <w:spacing w:line="300" w:lineRule="auto"/>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13" w:type="dxa"/>
            <w:noWrap w:val="0"/>
            <w:vAlign w:val="center"/>
          </w:tcPr>
          <w:p>
            <w:pPr>
              <w:adjustRightInd w:val="0"/>
              <w:snapToGrid w:val="0"/>
              <w:spacing w:line="300" w:lineRule="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固形物含量（g/100mL）         ≥</w:t>
            </w:r>
          </w:p>
        </w:tc>
        <w:tc>
          <w:tcPr>
            <w:tcW w:w="2988" w:type="dxa"/>
            <w:noWrap w:val="0"/>
            <w:vAlign w:val="center"/>
          </w:tcPr>
          <w:p>
            <w:pPr>
              <w:adjustRightInd w:val="0"/>
              <w:snapToGrid w:val="0"/>
              <w:spacing w:line="300" w:lineRule="auto"/>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w:t>
            </w:r>
          </w:p>
        </w:tc>
        <w:tc>
          <w:tcPr>
            <w:tcW w:w="1957" w:type="dxa"/>
            <w:noWrap w:val="0"/>
            <w:vAlign w:val="center"/>
          </w:tcPr>
          <w:p>
            <w:pPr>
              <w:adjustRightInd w:val="0"/>
              <w:snapToGrid w:val="0"/>
              <w:spacing w:line="300" w:lineRule="auto"/>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52</w:t>
            </w:r>
          </w:p>
        </w:tc>
      </w:tr>
    </w:tbl>
    <w:p>
      <w:pPr>
        <w:pStyle w:val="2"/>
        <w:jc w:val="center"/>
        <w:rPr>
          <w:rFonts w:hint="default" w:ascii="Times New Roman" w:hAnsi="Times New Roman" w:eastAsia="方正仿宋_GBK" w:cs="Times New Roman"/>
          <w:kern w:val="0"/>
          <w:szCs w:val="32"/>
          <w:lang w:bidi="ar"/>
        </w:rPr>
      </w:pPr>
    </w:p>
    <w:p>
      <w:pPr>
        <w:spacing w:line="360" w:lineRule="auto"/>
        <w:ind w:firstLine="640" w:firstLineChars="200"/>
        <w:jc w:val="cente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表6 调味料品质理化指标要求</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27"/>
        <w:gridCol w:w="1842"/>
        <w:gridCol w:w="2268"/>
        <w:gridCol w:w="16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27" w:type="dxa"/>
            <w:vMerge w:val="restart"/>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项目</w:t>
            </w:r>
          </w:p>
        </w:tc>
        <w:tc>
          <w:tcPr>
            <w:tcW w:w="5756" w:type="dxa"/>
            <w:gridSpan w:val="3"/>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指标要求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27" w:type="dxa"/>
            <w:vMerge w:val="continue"/>
            <w:noWrap w:val="0"/>
            <w:vAlign w:val="center"/>
          </w:tcPr>
          <w:p>
            <w:pPr>
              <w:adjustRightInd w:val="0"/>
              <w:snapToGrid w:val="0"/>
              <w:jc w:val="center"/>
              <w:rPr>
                <w:rFonts w:hint="default" w:ascii="Times New Roman" w:hAnsi="Times New Roman" w:eastAsia="方正仿宋_GBK" w:cs="Times New Roman"/>
                <w:sz w:val="28"/>
                <w:szCs w:val="28"/>
              </w:rPr>
            </w:pPr>
          </w:p>
        </w:tc>
        <w:tc>
          <w:tcPr>
            <w:tcW w:w="1842" w:type="dxa"/>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固体调味料</w:t>
            </w:r>
          </w:p>
        </w:tc>
        <w:tc>
          <w:tcPr>
            <w:tcW w:w="2268" w:type="dxa"/>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半固体调味料</w:t>
            </w:r>
          </w:p>
        </w:tc>
        <w:tc>
          <w:tcPr>
            <w:tcW w:w="1646" w:type="dxa"/>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液态调味料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27" w:type="dxa"/>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固形物含量（g/100g）   ≥</w:t>
            </w:r>
          </w:p>
        </w:tc>
        <w:tc>
          <w:tcPr>
            <w:tcW w:w="1842" w:type="dxa"/>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w:t>
            </w:r>
          </w:p>
        </w:tc>
        <w:tc>
          <w:tcPr>
            <w:tcW w:w="2268" w:type="dxa"/>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50（海鲜酱、柱候酱）</w:t>
            </w:r>
          </w:p>
        </w:tc>
        <w:tc>
          <w:tcPr>
            <w:tcW w:w="1646" w:type="dxa"/>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27" w:type="dxa"/>
            <w:noWrap w:val="0"/>
            <w:vAlign w:val="center"/>
          </w:tcPr>
          <w:p>
            <w:pPr>
              <w:adjustRightInd w:val="0"/>
              <w:snapToGrid w:val="0"/>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 xml:space="preserve">氯化钠含量（g/100g）       </w:t>
            </w:r>
          </w:p>
        </w:tc>
        <w:tc>
          <w:tcPr>
            <w:tcW w:w="1842" w:type="dxa"/>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≤78（盐焗鸡粉）</w:t>
            </w:r>
          </w:p>
        </w:tc>
        <w:tc>
          <w:tcPr>
            <w:tcW w:w="2268" w:type="dxa"/>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3.0-8.5（海鲜酱）</w:t>
            </w:r>
          </w:p>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10-15（柱候酱）</w:t>
            </w:r>
          </w:p>
        </w:tc>
        <w:tc>
          <w:tcPr>
            <w:tcW w:w="1646" w:type="dxa"/>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27" w:type="dxa"/>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水活度               ≤</w:t>
            </w:r>
          </w:p>
        </w:tc>
        <w:tc>
          <w:tcPr>
            <w:tcW w:w="1842" w:type="dxa"/>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w:t>
            </w:r>
          </w:p>
        </w:tc>
        <w:tc>
          <w:tcPr>
            <w:tcW w:w="2268" w:type="dxa"/>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0.9（海鲜酱、柱候酱）</w:t>
            </w:r>
          </w:p>
        </w:tc>
        <w:tc>
          <w:tcPr>
            <w:tcW w:w="1646" w:type="dxa"/>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27" w:type="dxa"/>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水分（g/100g）       ≤</w:t>
            </w:r>
          </w:p>
        </w:tc>
        <w:tc>
          <w:tcPr>
            <w:tcW w:w="1842" w:type="dxa"/>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10（盐焗鸡粉）</w:t>
            </w:r>
          </w:p>
        </w:tc>
        <w:tc>
          <w:tcPr>
            <w:tcW w:w="2268" w:type="dxa"/>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w:t>
            </w:r>
          </w:p>
        </w:tc>
        <w:tc>
          <w:tcPr>
            <w:tcW w:w="1646" w:type="dxa"/>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w:t>
            </w:r>
          </w:p>
        </w:tc>
      </w:tr>
    </w:tbl>
    <w:p>
      <w:pPr>
        <w:spacing w:line="60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3.5.2食品添加剂要求</w:t>
      </w:r>
    </w:p>
    <w:p>
      <w:pPr>
        <w:spacing w:line="60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食品添加剂使用应符合GB 2760要求。</w:t>
      </w:r>
    </w:p>
    <w:p>
      <w:pPr>
        <w:spacing w:line="60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在保证生产工艺的前提下，申请“食在广州”</w:t>
      </w:r>
      <w:r>
        <w:rPr>
          <w:rFonts w:hint="default" w:ascii="Times New Roman" w:hAnsi="Times New Roman" w:eastAsia="方正仿宋_GBK" w:cs="Times New Roman"/>
          <w:sz w:val="32"/>
          <w:szCs w:val="32"/>
          <w:lang w:eastAsia="zh-CN"/>
        </w:rPr>
        <w:t>评价</w:t>
      </w:r>
      <w:r>
        <w:rPr>
          <w:rFonts w:hint="default" w:ascii="Times New Roman" w:hAnsi="Times New Roman" w:eastAsia="方正仿宋_GBK" w:cs="Times New Roman"/>
          <w:sz w:val="32"/>
          <w:szCs w:val="32"/>
        </w:rPr>
        <w:t>认证的调味品应减少使用或不使用食品添加剂。</w:t>
      </w:r>
    </w:p>
    <w:p>
      <w:pPr>
        <w:spacing w:line="60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3.5.3污染物指标要求</w:t>
      </w:r>
    </w:p>
    <w:p>
      <w:pPr>
        <w:spacing w:line="60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调味品污染物指标应符合表</w:t>
      </w:r>
      <w:r>
        <w:rPr>
          <w:rFonts w:hint="eastAsia" w:ascii="Times New Roman" w:hAnsi="Times New Roman" w:eastAsia="方正仿宋_GBK" w:cs="Times New Roman"/>
          <w:sz w:val="32"/>
          <w:szCs w:val="32"/>
          <w:lang w:eastAsia="zh-CN"/>
        </w:rPr>
        <w:t>7</w:t>
      </w:r>
      <w:r>
        <w:rPr>
          <w:rFonts w:hint="default" w:ascii="Times New Roman" w:hAnsi="Times New Roman" w:eastAsia="方正仿宋_GBK" w:cs="Times New Roman"/>
          <w:sz w:val="32"/>
          <w:szCs w:val="32"/>
        </w:rPr>
        <w:t>要求。</w:t>
      </w:r>
    </w:p>
    <w:p>
      <w:pPr>
        <w:spacing w:line="600" w:lineRule="exact"/>
        <w:ind w:firstLine="640" w:firstLineChars="200"/>
        <w:rPr>
          <w:rFonts w:hint="default" w:ascii="Times New Roman" w:hAnsi="Times New Roman" w:eastAsia="方正仿宋_GBK" w:cs="Times New Roman"/>
          <w:sz w:val="32"/>
          <w:szCs w:val="32"/>
        </w:rPr>
      </w:pPr>
    </w:p>
    <w:p>
      <w:pPr>
        <w:spacing w:line="360" w:lineRule="auto"/>
        <w:ind w:firstLine="640" w:firstLineChars="200"/>
        <w:jc w:val="cente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表</w:t>
      </w:r>
      <w:r>
        <w:rPr>
          <w:rFonts w:hint="eastAsia" w:ascii="Times New Roman" w:hAnsi="Times New Roman" w:eastAsia="方正仿宋_GBK" w:cs="Times New Roman"/>
          <w:sz w:val="32"/>
          <w:szCs w:val="32"/>
          <w:lang w:eastAsia="zh-CN"/>
        </w:rPr>
        <w:t>7</w:t>
      </w:r>
      <w:r>
        <w:rPr>
          <w:rFonts w:hint="default" w:ascii="Times New Roman" w:hAnsi="Times New Roman" w:eastAsia="方正仿宋_GBK" w:cs="Times New Roman"/>
          <w:sz w:val="32"/>
          <w:szCs w:val="32"/>
        </w:rPr>
        <w:t xml:space="preserve"> 调味品中污染物指标要求</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5"/>
        <w:gridCol w:w="1417"/>
        <w:gridCol w:w="1002"/>
        <w:gridCol w:w="1469"/>
        <w:gridCol w:w="1469"/>
        <w:gridCol w:w="14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1985" w:type="dxa"/>
            <w:vMerge w:val="restart"/>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项目</w:t>
            </w:r>
          </w:p>
        </w:tc>
        <w:tc>
          <w:tcPr>
            <w:tcW w:w="6826" w:type="dxa"/>
            <w:gridSpan w:val="5"/>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kern w:val="0"/>
                <w:sz w:val="28"/>
                <w:szCs w:val="28"/>
                <w:lang w:bidi="ar"/>
              </w:rPr>
              <w:t>限量/（mg/kg）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1985" w:type="dxa"/>
            <w:vMerge w:val="continue"/>
            <w:noWrap w:val="0"/>
            <w:vAlign w:val="center"/>
          </w:tcPr>
          <w:p>
            <w:pPr>
              <w:adjustRightInd w:val="0"/>
              <w:snapToGrid w:val="0"/>
              <w:jc w:val="center"/>
              <w:rPr>
                <w:rFonts w:hint="default" w:ascii="Times New Roman" w:hAnsi="Times New Roman" w:eastAsia="方正仿宋_GBK" w:cs="Times New Roman"/>
                <w:sz w:val="28"/>
                <w:szCs w:val="28"/>
              </w:rPr>
            </w:pPr>
          </w:p>
        </w:tc>
        <w:tc>
          <w:tcPr>
            <w:tcW w:w="1417" w:type="dxa"/>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酱油</w:t>
            </w:r>
          </w:p>
        </w:tc>
        <w:tc>
          <w:tcPr>
            <w:tcW w:w="1002" w:type="dxa"/>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食醋</w:t>
            </w:r>
          </w:p>
        </w:tc>
        <w:tc>
          <w:tcPr>
            <w:tcW w:w="1469" w:type="dxa"/>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液体调味料</w:t>
            </w:r>
          </w:p>
        </w:tc>
        <w:tc>
          <w:tcPr>
            <w:tcW w:w="1469" w:type="dxa"/>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半固体调味料</w:t>
            </w:r>
          </w:p>
        </w:tc>
        <w:tc>
          <w:tcPr>
            <w:tcW w:w="1469" w:type="dxa"/>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固体调味料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85" w:type="dxa"/>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kern w:val="0"/>
                <w:sz w:val="28"/>
                <w:szCs w:val="28"/>
                <w:lang w:bidi="ar"/>
              </w:rPr>
              <w:t>铅（以Pb计）</w:t>
            </w:r>
          </w:p>
        </w:tc>
        <w:tc>
          <w:tcPr>
            <w:tcW w:w="1417" w:type="dxa"/>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0.5</w:t>
            </w:r>
          </w:p>
        </w:tc>
        <w:tc>
          <w:tcPr>
            <w:tcW w:w="1002" w:type="dxa"/>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0.5</w:t>
            </w:r>
          </w:p>
        </w:tc>
        <w:tc>
          <w:tcPr>
            <w:tcW w:w="1469" w:type="dxa"/>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0.5</w:t>
            </w:r>
          </w:p>
        </w:tc>
        <w:tc>
          <w:tcPr>
            <w:tcW w:w="1469" w:type="dxa"/>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0.5</w:t>
            </w:r>
          </w:p>
        </w:tc>
        <w:tc>
          <w:tcPr>
            <w:tcW w:w="1469" w:type="dxa"/>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85" w:type="dxa"/>
            <w:noWrap w:val="0"/>
            <w:vAlign w:val="center"/>
          </w:tcPr>
          <w:p>
            <w:pPr>
              <w:adjustRightInd w:val="0"/>
              <w:snapToGrid w:val="0"/>
              <w:jc w:val="center"/>
              <w:rPr>
                <w:rFonts w:hint="default" w:ascii="Times New Roman" w:hAnsi="Times New Roman" w:eastAsia="方正仿宋_GBK" w:cs="Times New Roman"/>
                <w:kern w:val="0"/>
                <w:sz w:val="28"/>
                <w:szCs w:val="28"/>
                <w:lang w:bidi="ar"/>
              </w:rPr>
            </w:pPr>
            <w:r>
              <w:rPr>
                <w:rFonts w:hint="default" w:ascii="Times New Roman" w:hAnsi="Times New Roman" w:eastAsia="方正仿宋_GBK" w:cs="Times New Roman"/>
                <w:kern w:val="0"/>
                <w:sz w:val="28"/>
                <w:szCs w:val="28"/>
                <w:lang w:bidi="ar"/>
              </w:rPr>
              <w:t>镉（以Cd计）</w:t>
            </w:r>
          </w:p>
        </w:tc>
        <w:tc>
          <w:tcPr>
            <w:tcW w:w="1417" w:type="dxa"/>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w:t>
            </w:r>
          </w:p>
        </w:tc>
        <w:tc>
          <w:tcPr>
            <w:tcW w:w="1002" w:type="dxa"/>
            <w:noWrap w:val="0"/>
            <w:vAlign w:val="center"/>
          </w:tcPr>
          <w:p>
            <w:pPr>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w:t>
            </w:r>
          </w:p>
        </w:tc>
        <w:tc>
          <w:tcPr>
            <w:tcW w:w="1469" w:type="dxa"/>
            <w:noWrap w:val="0"/>
            <w:vAlign w:val="center"/>
          </w:tcPr>
          <w:p>
            <w:pPr>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0.1</w:t>
            </w:r>
          </w:p>
        </w:tc>
        <w:tc>
          <w:tcPr>
            <w:tcW w:w="1469" w:type="dxa"/>
            <w:noWrap w:val="0"/>
            <w:vAlign w:val="center"/>
          </w:tcPr>
          <w:p>
            <w:pPr>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0.1</w:t>
            </w:r>
          </w:p>
        </w:tc>
        <w:tc>
          <w:tcPr>
            <w:tcW w:w="1469" w:type="dxa"/>
            <w:noWrap w:val="0"/>
            <w:vAlign w:val="center"/>
          </w:tcPr>
          <w:p>
            <w:pPr>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85" w:type="dxa"/>
            <w:noWrap w:val="0"/>
            <w:vAlign w:val="center"/>
          </w:tcPr>
          <w:p>
            <w:pPr>
              <w:adjustRightInd w:val="0"/>
              <w:snapToGrid w:val="0"/>
              <w:jc w:val="center"/>
              <w:rPr>
                <w:rFonts w:hint="default" w:ascii="Times New Roman" w:hAnsi="Times New Roman" w:eastAsia="方正仿宋_GBK" w:cs="Times New Roman"/>
                <w:kern w:val="0"/>
                <w:sz w:val="28"/>
                <w:szCs w:val="28"/>
                <w:lang w:bidi="ar"/>
              </w:rPr>
            </w:pPr>
            <w:r>
              <w:rPr>
                <w:rFonts w:hint="default" w:ascii="Times New Roman" w:hAnsi="Times New Roman" w:eastAsia="方正仿宋_GBK" w:cs="Times New Roman"/>
                <w:kern w:val="0"/>
                <w:sz w:val="28"/>
                <w:szCs w:val="28"/>
                <w:lang w:bidi="ar"/>
              </w:rPr>
              <w:t>总砷（以As计）</w:t>
            </w:r>
          </w:p>
        </w:tc>
        <w:tc>
          <w:tcPr>
            <w:tcW w:w="1417" w:type="dxa"/>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0.5</w:t>
            </w:r>
          </w:p>
        </w:tc>
        <w:tc>
          <w:tcPr>
            <w:tcW w:w="1002" w:type="dxa"/>
            <w:noWrap w:val="0"/>
            <w:vAlign w:val="center"/>
          </w:tcPr>
          <w:p>
            <w:pPr>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0.5</w:t>
            </w:r>
          </w:p>
        </w:tc>
        <w:tc>
          <w:tcPr>
            <w:tcW w:w="1469" w:type="dxa"/>
            <w:noWrap w:val="0"/>
            <w:vAlign w:val="center"/>
          </w:tcPr>
          <w:p>
            <w:pPr>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0.5</w:t>
            </w:r>
          </w:p>
        </w:tc>
        <w:tc>
          <w:tcPr>
            <w:tcW w:w="1469" w:type="dxa"/>
            <w:noWrap w:val="0"/>
            <w:vAlign w:val="center"/>
          </w:tcPr>
          <w:p>
            <w:pPr>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0.5</w:t>
            </w:r>
          </w:p>
        </w:tc>
        <w:tc>
          <w:tcPr>
            <w:tcW w:w="1469" w:type="dxa"/>
            <w:noWrap w:val="0"/>
            <w:vAlign w:val="center"/>
          </w:tcPr>
          <w:p>
            <w:pPr>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85" w:type="dxa"/>
            <w:noWrap w:val="0"/>
            <w:vAlign w:val="center"/>
          </w:tcPr>
          <w:p>
            <w:pPr>
              <w:adjustRightInd w:val="0"/>
              <w:snapToGrid w:val="0"/>
              <w:jc w:val="center"/>
              <w:rPr>
                <w:rFonts w:hint="default" w:ascii="Times New Roman" w:hAnsi="Times New Roman" w:eastAsia="方正仿宋_GBK" w:cs="Times New Roman"/>
                <w:kern w:val="0"/>
                <w:sz w:val="28"/>
                <w:szCs w:val="28"/>
                <w:lang w:bidi="ar"/>
              </w:rPr>
            </w:pPr>
            <w:r>
              <w:rPr>
                <w:rFonts w:hint="default" w:ascii="Times New Roman" w:hAnsi="Times New Roman" w:eastAsia="方正仿宋_GBK" w:cs="Times New Roman"/>
                <w:kern w:val="0"/>
                <w:sz w:val="28"/>
                <w:szCs w:val="28"/>
                <w:lang w:bidi="ar"/>
              </w:rPr>
              <w:t>无机砷</w:t>
            </w:r>
          </w:p>
        </w:tc>
        <w:tc>
          <w:tcPr>
            <w:tcW w:w="1417" w:type="dxa"/>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w:t>
            </w:r>
          </w:p>
        </w:tc>
        <w:tc>
          <w:tcPr>
            <w:tcW w:w="1002" w:type="dxa"/>
            <w:noWrap w:val="0"/>
            <w:vAlign w:val="center"/>
          </w:tcPr>
          <w:p>
            <w:pPr>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w:t>
            </w:r>
          </w:p>
        </w:tc>
        <w:tc>
          <w:tcPr>
            <w:tcW w:w="1469" w:type="dxa"/>
            <w:noWrap w:val="0"/>
            <w:vAlign w:val="center"/>
          </w:tcPr>
          <w:p>
            <w:pPr>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0.1</w:t>
            </w:r>
          </w:p>
        </w:tc>
        <w:tc>
          <w:tcPr>
            <w:tcW w:w="1469" w:type="dxa"/>
            <w:noWrap w:val="0"/>
            <w:vAlign w:val="center"/>
          </w:tcPr>
          <w:p>
            <w:pPr>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0.1</w:t>
            </w:r>
          </w:p>
        </w:tc>
        <w:tc>
          <w:tcPr>
            <w:tcW w:w="1469" w:type="dxa"/>
            <w:noWrap w:val="0"/>
            <w:vAlign w:val="center"/>
          </w:tcPr>
          <w:p>
            <w:pPr>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0.1</w:t>
            </w:r>
          </w:p>
        </w:tc>
      </w:tr>
    </w:tbl>
    <w:p>
      <w:pPr>
        <w:spacing w:line="60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3.5.4真菌毒素指标要求</w:t>
      </w:r>
    </w:p>
    <w:p>
      <w:pPr>
        <w:spacing w:line="60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调味品真菌毒素指标应符合表</w:t>
      </w:r>
      <w:r>
        <w:rPr>
          <w:rFonts w:hint="eastAsia" w:ascii="Times New Roman" w:hAnsi="Times New Roman" w:eastAsia="方正仿宋_GBK" w:cs="Times New Roman"/>
          <w:sz w:val="32"/>
          <w:szCs w:val="32"/>
          <w:lang w:eastAsia="zh-CN"/>
        </w:rPr>
        <w:t>8</w:t>
      </w:r>
      <w:r>
        <w:rPr>
          <w:rFonts w:hint="default" w:ascii="Times New Roman" w:hAnsi="Times New Roman" w:eastAsia="方正仿宋_GBK" w:cs="Times New Roman"/>
          <w:sz w:val="32"/>
          <w:szCs w:val="32"/>
        </w:rPr>
        <w:t>要求。</w:t>
      </w:r>
    </w:p>
    <w:p>
      <w:pPr>
        <w:spacing w:line="360" w:lineRule="auto"/>
        <w:ind w:firstLine="640" w:firstLineChars="200"/>
        <w:jc w:val="cente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表</w:t>
      </w:r>
      <w:r>
        <w:rPr>
          <w:rFonts w:hint="eastAsia" w:ascii="Times New Roman" w:hAnsi="Times New Roman" w:eastAsia="方正仿宋_GBK" w:cs="Times New Roman"/>
          <w:sz w:val="32"/>
          <w:szCs w:val="32"/>
          <w:lang w:eastAsia="zh-CN"/>
        </w:rPr>
        <w:t>8</w:t>
      </w: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调味品中真菌毒素指标要求</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08"/>
        <w:gridCol w:w="1469"/>
        <w:gridCol w:w="1469"/>
        <w:gridCol w:w="1469"/>
        <w:gridCol w:w="1469"/>
        <w:gridCol w:w="14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1608" w:type="dxa"/>
            <w:vMerge w:val="restart"/>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项目</w:t>
            </w:r>
          </w:p>
        </w:tc>
        <w:tc>
          <w:tcPr>
            <w:tcW w:w="7345" w:type="dxa"/>
            <w:gridSpan w:val="5"/>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kern w:val="0"/>
                <w:sz w:val="28"/>
                <w:szCs w:val="28"/>
                <w:lang w:bidi="ar"/>
              </w:rPr>
              <w:t>限量/（μg/kg）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1608" w:type="dxa"/>
            <w:vMerge w:val="continue"/>
            <w:noWrap w:val="0"/>
            <w:vAlign w:val="center"/>
          </w:tcPr>
          <w:p>
            <w:pPr>
              <w:adjustRightInd w:val="0"/>
              <w:snapToGrid w:val="0"/>
              <w:jc w:val="center"/>
              <w:rPr>
                <w:rFonts w:hint="default" w:ascii="Times New Roman" w:hAnsi="Times New Roman" w:eastAsia="方正仿宋_GBK" w:cs="Times New Roman"/>
                <w:sz w:val="28"/>
                <w:szCs w:val="28"/>
              </w:rPr>
            </w:pPr>
          </w:p>
        </w:tc>
        <w:tc>
          <w:tcPr>
            <w:tcW w:w="1469" w:type="dxa"/>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酱油</w:t>
            </w:r>
          </w:p>
        </w:tc>
        <w:tc>
          <w:tcPr>
            <w:tcW w:w="1469" w:type="dxa"/>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食醋</w:t>
            </w:r>
          </w:p>
        </w:tc>
        <w:tc>
          <w:tcPr>
            <w:tcW w:w="1469" w:type="dxa"/>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液体调味料</w:t>
            </w:r>
          </w:p>
        </w:tc>
        <w:tc>
          <w:tcPr>
            <w:tcW w:w="1469" w:type="dxa"/>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半固体调味料</w:t>
            </w:r>
          </w:p>
        </w:tc>
        <w:tc>
          <w:tcPr>
            <w:tcW w:w="1469" w:type="dxa"/>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固体调味料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08" w:type="dxa"/>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kern w:val="0"/>
                <w:sz w:val="28"/>
                <w:szCs w:val="28"/>
                <w:lang w:bidi="ar"/>
              </w:rPr>
              <w:t>黄曲霉毒素B</w:t>
            </w:r>
            <w:r>
              <w:rPr>
                <w:rFonts w:hint="default" w:ascii="Times New Roman" w:hAnsi="Times New Roman" w:eastAsia="方正仿宋_GBK" w:cs="Times New Roman"/>
                <w:kern w:val="0"/>
                <w:sz w:val="28"/>
                <w:szCs w:val="28"/>
                <w:vertAlign w:val="subscript"/>
                <w:lang w:bidi="ar"/>
              </w:rPr>
              <w:t>1</w:t>
            </w:r>
          </w:p>
        </w:tc>
        <w:tc>
          <w:tcPr>
            <w:tcW w:w="1469" w:type="dxa"/>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5.0</w:t>
            </w:r>
          </w:p>
        </w:tc>
        <w:tc>
          <w:tcPr>
            <w:tcW w:w="1469" w:type="dxa"/>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5.0</w:t>
            </w:r>
          </w:p>
        </w:tc>
        <w:tc>
          <w:tcPr>
            <w:tcW w:w="1469" w:type="dxa"/>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5.0</w:t>
            </w:r>
          </w:p>
        </w:tc>
        <w:tc>
          <w:tcPr>
            <w:tcW w:w="1469" w:type="dxa"/>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5.0</w:t>
            </w:r>
          </w:p>
        </w:tc>
        <w:tc>
          <w:tcPr>
            <w:tcW w:w="1469" w:type="dxa"/>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5.0</w:t>
            </w:r>
          </w:p>
        </w:tc>
      </w:tr>
    </w:tbl>
    <w:p>
      <w:pPr>
        <w:spacing w:line="600" w:lineRule="exact"/>
        <w:jc w:val="center"/>
        <w:rPr>
          <w:rFonts w:hint="default" w:ascii="Times New Roman" w:hAnsi="Times New Roman" w:eastAsia="方正仿宋_GBK" w:cs="Times New Roman"/>
          <w:szCs w:val="32"/>
        </w:rPr>
      </w:pPr>
    </w:p>
    <w:p>
      <w:pPr>
        <w:spacing w:line="60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3.5.5微生物指标要求</w:t>
      </w:r>
    </w:p>
    <w:p>
      <w:pPr>
        <w:spacing w:line="60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酱油、食醋中微生物指标应符合表</w:t>
      </w:r>
      <w:r>
        <w:rPr>
          <w:rFonts w:hint="eastAsia" w:ascii="Times New Roman" w:hAnsi="Times New Roman" w:eastAsia="方正仿宋_GBK" w:cs="Times New Roman"/>
          <w:sz w:val="32"/>
          <w:szCs w:val="32"/>
          <w:lang w:eastAsia="zh-CN"/>
        </w:rPr>
        <w:t>9</w:t>
      </w:r>
      <w:r>
        <w:rPr>
          <w:rFonts w:hint="default" w:ascii="Times New Roman" w:hAnsi="Times New Roman" w:eastAsia="方正仿宋_GBK" w:cs="Times New Roman"/>
          <w:sz w:val="32"/>
          <w:szCs w:val="32"/>
        </w:rPr>
        <w:t>要求。申请认证的产品致病菌限量应符合GB 29921的规定。</w:t>
      </w:r>
    </w:p>
    <w:p>
      <w:pPr>
        <w:spacing w:line="360" w:lineRule="auto"/>
        <w:ind w:firstLine="640" w:firstLineChars="200"/>
        <w:jc w:val="cente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表</w:t>
      </w:r>
      <w:r>
        <w:rPr>
          <w:rFonts w:hint="eastAsia" w:ascii="Times New Roman" w:hAnsi="Times New Roman" w:eastAsia="方正仿宋_GBK" w:cs="Times New Roman"/>
          <w:sz w:val="32"/>
          <w:szCs w:val="32"/>
          <w:lang w:eastAsia="zh-CN"/>
        </w:rPr>
        <w:t>9</w:t>
      </w:r>
      <w:r>
        <w:rPr>
          <w:rFonts w:hint="default" w:ascii="Times New Roman" w:hAnsi="Times New Roman" w:eastAsia="方正仿宋_GBK" w:cs="Times New Roman"/>
          <w:sz w:val="32"/>
          <w:szCs w:val="32"/>
        </w:rPr>
        <w:t>微生物指标要求</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2"/>
        <w:gridCol w:w="1303"/>
        <w:gridCol w:w="1360"/>
        <w:gridCol w:w="1305"/>
        <w:gridCol w:w="1635"/>
        <w:gridCol w:w="19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05" w:type="dxa"/>
            <w:gridSpan w:val="2"/>
            <w:vMerge w:val="restart"/>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项目</w:t>
            </w:r>
          </w:p>
        </w:tc>
        <w:tc>
          <w:tcPr>
            <w:tcW w:w="6230" w:type="dxa"/>
            <w:gridSpan w:val="4"/>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采样方案及限量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05" w:type="dxa"/>
            <w:gridSpan w:val="2"/>
            <w:vMerge w:val="continue"/>
            <w:noWrap w:val="0"/>
            <w:vAlign w:val="center"/>
          </w:tcPr>
          <w:p>
            <w:pPr>
              <w:adjustRightInd w:val="0"/>
              <w:snapToGrid w:val="0"/>
              <w:jc w:val="center"/>
              <w:rPr>
                <w:rFonts w:hint="default" w:ascii="Times New Roman" w:hAnsi="Times New Roman" w:eastAsia="方正仿宋_GBK" w:cs="Times New Roman"/>
                <w:sz w:val="28"/>
                <w:szCs w:val="28"/>
              </w:rPr>
            </w:pPr>
          </w:p>
        </w:tc>
        <w:tc>
          <w:tcPr>
            <w:tcW w:w="1360" w:type="dxa"/>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n</w:t>
            </w:r>
          </w:p>
        </w:tc>
        <w:tc>
          <w:tcPr>
            <w:tcW w:w="1305" w:type="dxa"/>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c</w:t>
            </w:r>
          </w:p>
        </w:tc>
        <w:tc>
          <w:tcPr>
            <w:tcW w:w="1635" w:type="dxa"/>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m</w:t>
            </w:r>
          </w:p>
        </w:tc>
        <w:tc>
          <w:tcPr>
            <w:tcW w:w="1930" w:type="dxa"/>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02" w:type="dxa"/>
            <w:vMerge w:val="restart"/>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菌落总数</w:t>
            </w:r>
          </w:p>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（CFU/mL）</w:t>
            </w:r>
          </w:p>
        </w:tc>
        <w:tc>
          <w:tcPr>
            <w:tcW w:w="1303" w:type="dxa"/>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酱油</w:t>
            </w:r>
          </w:p>
        </w:tc>
        <w:tc>
          <w:tcPr>
            <w:tcW w:w="1360" w:type="dxa"/>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5</w:t>
            </w:r>
          </w:p>
        </w:tc>
        <w:tc>
          <w:tcPr>
            <w:tcW w:w="1305" w:type="dxa"/>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2</w:t>
            </w:r>
          </w:p>
        </w:tc>
        <w:tc>
          <w:tcPr>
            <w:tcW w:w="1635" w:type="dxa"/>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5×10</w:t>
            </w:r>
            <w:r>
              <w:rPr>
                <w:rFonts w:hint="default" w:ascii="Times New Roman" w:hAnsi="Times New Roman" w:eastAsia="方正仿宋_GBK" w:cs="Times New Roman"/>
                <w:sz w:val="28"/>
                <w:szCs w:val="28"/>
                <w:vertAlign w:val="superscript"/>
              </w:rPr>
              <w:t>3</w:t>
            </w:r>
          </w:p>
        </w:tc>
        <w:tc>
          <w:tcPr>
            <w:tcW w:w="1930" w:type="dxa"/>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5×10</w:t>
            </w:r>
            <w:r>
              <w:rPr>
                <w:rFonts w:hint="default" w:ascii="Times New Roman" w:hAnsi="Times New Roman" w:eastAsia="方正仿宋_GBK" w:cs="Times New Roman"/>
                <w:sz w:val="28"/>
                <w:szCs w:val="28"/>
                <w:vertAlign w:val="superscript"/>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02" w:type="dxa"/>
            <w:vMerge w:val="continue"/>
            <w:noWrap w:val="0"/>
            <w:vAlign w:val="center"/>
          </w:tcPr>
          <w:p>
            <w:pPr>
              <w:adjustRightInd w:val="0"/>
              <w:snapToGrid w:val="0"/>
              <w:jc w:val="center"/>
              <w:rPr>
                <w:rFonts w:hint="default" w:ascii="Times New Roman" w:hAnsi="Times New Roman" w:eastAsia="方正仿宋_GBK" w:cs="Times New Roman"/>
                <w:sz w:val="28"/>
                <w:szCs w:val="28"/>
              </w:rPr>
            </w:pPr>
          </w:p>
        </w:tc>
        <w:tc>
          <w:tcPr>
            <w:tcW w:w="1303" w:type="dxa"/>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食醋</w:t>
            </w:r>
          </w:p>
        </w:tc>
        <w:tc>
          <w:tcPr>
            <w:tcW w:w="1360" w:type="dxa"/>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5</w:t>
            </w:r>
          </w:p>
        </w:tc>
        <w:tc>
          <w:tcPr>
            <w:tcW w:w="1305" w:type="dxa"/>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2</w:t>
            </w:r>
          </w:p>
        </w:tc>
        <w:tc>
          <w:tcPr>
            <w:tcW w:w="1635" w:type="dxa"/>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10</w:t>
            </w:r>
            <w:r>
              <w:rPr>
                <w:rFonts w:hint="default" w:ascii="Times New Roman" w:hAnsi="Times New Roman" w:eastAsia="方正仿宋_GBK" w:cs="Times New Roman"/>
                <w:sz w:val="28"/>
                <w:szCs w:val="28"/>
                <w:vertAlign w:val="superscript"/>
              </w:rPr>
              <w:t>3</w:t>
            </w:r>
          </w:p>
        </w:tc>
        <w:tc>
          <w:tcPr>
            <w:tcW w:w="1930" w:type="dxa"/>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10</w:t>
            </w:r>
            <w:r>
              <w:rPr>
                <w:rFonts w:hint="default" w:ascii="Times New Roman" w:hAnsi="Times New Roman" w:eastAsia="方正仿宋_GBK" w:cs="Times New Roman"/>
                <w:sz w:val="28"/>
                <w:szCs w:val="28"/>
                <w:vertAlign w:val="superscript"/>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02" w:type="dxa"/>
            <w:vMerge w:val="restart"/>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大肠菌群（CFU/mL）</w:t>
            </w:r>
          </w:p>
        </w:tc>
        <w:tc>
          <w:tcPr>
            <w:tcW w:w="1303" w:type="dxa"/>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酱油</w:t>
            </w:r>
          </w:p>
        </w:tc>
        <w:tc>
          <w:tcPr>
            <w:tcW w:w="1360" w:type="dxa"/>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5</w:t>
            </w:r>
          </w:p>
        </w:tc>
        <w:tc>
          <w:tcPr>
            <w:tcW w:w="1305" w:type="dxa"/>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2</w:t>
            </w:r>
          </w:p>
        </w:tc>
        <w:tc>
          <w:tcPr>
            <w:tcW w:w="1635" w:type="dxa"/>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10</w:t>
            </w:r>
          </w:p>
        </w:tc>
        <w:tc>
          <w:tcPr>
            <w:tcW w:w="1930" w:type="dxa"/>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10</w:t>
            </w:r>
            <w:r>
              <w:rPr>
                <w:rFonts w:hint="default" w:ascii="Times New Roman" w:hAnsi="Times New Roman" w:eastAsia="方正仿宋_GBK" w:cs="Times New Roman"/>
                <w:sz w:val="28"/>
                <w:szCs w:val="28"/>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02" w:type="dxa"/>
            <w:vMerge w:val="continue"/>
            <w:noWrap w:val="0"/>
            <w:vAlign w:val="center"/>
          </w:tcPr>
          <w:p>
            <w:pPr>
              <w:adjustRightInd w:val="0"/>
              <w:snapToGrid w:val="0"/>
              <w:jc w:val="center"/>
              <w:rPr>
                <w:rFonts w:hint="default" w:ascii="Times New Roman" w:hAnsi="Times New Roman" w:eastAsia="方正仿宋_GBK" w:cs="Times New Roman"/>
                <w:sz w:val="28"/>
                <w:szCs w:val="28"/>
              </w:rPr>
            </w:pPr>
          </w:p>
        </w:tc>
        <w:tc>
          <w:tcPr>
            <w:tcW w:w="1303" w:type="dxa"/>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食醋</w:t>
            </w:r>
          </w:p>
        </w:tc>
        <w:tc>
          <w:tcPr>
            <w:tcW w:w="1360" w:type="dxa"/>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5</w:t>
            </w:r>
          </w:p>
        </w:tc>
        <w:tc>
          <w:tcPr>
            <w:tcW w:w="1305" w:type="dxa"/>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2</w:t>
            </w:r>
          </w:p>
        </w:tc>
        <w:tc>
          <w:tcPr>
            <w:tcW w:w="1635" w:type="dxa"/>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10</w:t>
            </w:r>
          </w:p>
        </w:tc>
        <w:tc>
          <w:tcPr>
            <w:tcW w:w="1930" w:type="dxa"/>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10</w:t>
            </w:r>
            <w:r>
              <w:rPr>
                <w:rFonts w:hint="default" w:ascii="Times New Roman" w:hAnsi="Times New Roman" w:eastAsia="方正仿宋_GBK" w:cs="Times New Roman"/>
                <w:sz w:val="28"/>
                <w:szCs w:val="28"/>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35" w:type="dxa"/>
            <w:gridSpan w:val="6"/>
            <w:noWrap w:val="0"/>
            <w:vAlign w:val="center"/>
          </w:tcPr>
          <w:p>
            <w:pPr>
              <w:adjustRightInd w:val="0"/>
              <w:snapToGrid w:val="0"/>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注：样品的分析及处理按GB 4789.1执行。</w:t>
            </w:r>
          </w:p>
        </w:tc>
      </w:tr>
    </w:tbl>
    <w:p>
      <w:pPr>
        <w:spacing w:line="600" w:lineRule="exact"/>
        <w:ind w:firstLine="640" w:firstLineChars="200"/>
        <w:rPr>
          <w:rFonts w:hint="default" w:ascii="Times New Roman" w:hAnsi="Times New Roman" w:eastAsia="方正仿宋_GBK" w:cs="Times New Roman"/>
          <w:sz w:val="32"/>
          <w:szCs w:val="32"/>
        </w:rPr>
      </w:pPr>
    </w:p>
    <w:p>
      <w:pPr>
        <w:spacing w:line="60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3.5.6非食用物质要求</w:t>
      </w:r>
    </w:p>
    <w:p>
      <w:pPr>
        <w:spacing w:line="60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调味品的非食用物质指标应符合表</w:t>
      </w:r>
      <w:r>
        <w:rPr>
          <w:rFonts w:hint="eastAsia" w:ascii="Times New Roman" w:hAnsi="Times New Roman" w:eastAsia="方正仿宋_GBK" w:cs="Times New Roman"/>
          <w:sz w:val="32"/>
          <w:szCs w:val="32"/>
          <w:lang w:eastAsia="zh-CN"/>
        </w:rPr>
        <w:t>1</w:t>
      </w:r>
      <w:r>
        <w:rPr>
          <w:rFonts w:hint="eastAsia" w:ascii="Times New Roman" w:hAnsi="Times New Roman" w:eastAsia="方正仿宋_GBK" w:cs="Times New Roman"/>
          <w:sz w:val="32"/>
          <w:szCs w:val="32"/>
          <w:lang w:val="en-US" w:eastAsia="zh-CN"/>
        </w:rPr>
        <w:t>0</w:t>
      </w:r>
      <w:r>
        <w:rPr>
          <w:rFonts w:hint="default" w:ascii="Times New Roman" w:hAnsi="Times New Roman" w:eastAsia="方正仿宋_GBK" w:cs="Times New Roman"/>
          <w:sz w:val="32"/>
          <w:szCs w:val="32"/>
        </w:rPr>
        <w:t>要求。</w:t>
      </w:r>
    </w:p>
    <w:p>
      <w:pPr>
        <w:spacing w:line="360" w:lineRule="auto"/>
        <w:ind w:firstLine="640" w:firstLineChars="200"/>
        <w:jc w:val="center"/>
        <w:rPr>
          <w:rFonts w:hint="default" w:ascii="Times New Roman" w:hAnsi="Times New Roman" w:eastAsia="方正仿宋_GBK" w:cs="Times New Roman"/>
          <w:sz w:val="32"/>
          <w:szCs w:val="32"/>
        </w:rPr>
      </w:pPr>
    </w:p>
    <w:p>
      <w:pPr>
        <w:spacing w:line="360" w:lineRule="auto"/>
        <w:ind w:firstLine="640" w:firstLineChars="200"/>
        <w:jc w:val="cente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表</w:t>
      </w:r>
      <w:r>
        <w:rPr>
          <w:rFonts w:hint="eastAsia" w:ascii="Times New Roman" w:hAnsi="Times New Roman" w:eastAsia="方正仿宋_GBK" w:cs="Times New Roman"/>
          <w:sz w:val="32"/>
          <w:szCs w:val="32"/>
          <w:lang w:eastAsia="zh-CN"/>
        </w:rPr>
        <w:t>1</w:t>
      </w:r>
      <w:r>
        <w:rPr>
          <w:rFonts w:hint="eastAsia" w:ascii="Times New Roman" w:hAnsi="Times New Roman" w:eastAsia="方正仿宋_GBK" w:cs="Times New Roman"/>
          <w:sz w:val="32"/>
          <w:szCs w:val="32"/>
          <w:lang w:val="en-US" w:eastAsia="zh-CN"/>
        </w:rPr>
        <w:t>0</w:t>
      </w:r>
      <w:r>
        <w:rPr>
          <w:rFonts w:hint="default" w:ascii="Times New Roman" w:hAnsi="Times New Roman" w:eastAsia="方正仿宋_GBK" w:cs="Times New Roman"/>
          <w:sz w:val="32"/>
          <w:szCs w:val="32"/>
        </w:rPr>
        <w:t>调味品品质指标要求</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1"/>
        <w:gridCol w:w="1134"/>
        <w:gridCol w:w="1188"/>
        <w:gridCol w:w="1469"/>
        <w:gridCol w:w="1469"/>
        <w:gridCol w:w="14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1701" w:type="dxa"/>
            <w:vMerge w:val="restart"/>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项目</w:t>
            </w:r>
          </w:p>
        </w:tc>
        <w:tc>
          <w:tcPr>
            <w:tcW w:w="6729" w:type="dxa"/>
            <w:gridSpan w:val="5"/>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指标要求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1701" w:type="dxa"/>
            <w:vMerge w:val="continue"/>
            <w:noWrap w:val="0"/>
            <w:vAlign w:val="center"/>
          </w:tcPr>
          <w:p>
            <w:pPr>
              <w:adjustRightInd w:val="0"/>
              <w:snapToGrid w:val="0"/>
              <w:jc w:val="center"/>
              <w:rPr>
                <w:rFonts w:hint="default" w:ascii="Times New Roman" w:hAnsi="Times New Roman" w:eastAsia="方正仿宋_GBK" w:cs="Times New Roman"/>
                <w:sz w:val="28"/>
                <w:szCs w:val="28"/>
              </w:rPr>
            </w:pPr>
          </w:p>
        </w:tc>
        <w:tc>
          <w:tcPr>
            <w:tcW w:w="1134" w:type="dxa"/>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酱油</w:t>
            </w:r>
          </w:p>
        </w:tc>
        <w:tc>
          <w:tcPr>
            <w:tcW w:w="1188" w:type="dxa"/>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食醋</w:t>
            </w:r>
          </w:p>
        </w:tc>
        <w:tc>
          <w:tcPr>
            <w:tcW w:w="1469" w:type="dxa"/>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液体调味料</w:t>
            </w:r>
          </w:p>
        </w:tc>
        <w:tc>
          <w:tcPr>
            <w:tcW w:w="1469" w:type="dxa"/>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半固体调味料</w:t>
            </w:r>
          </w:p>
        </w:tc>
        <w:tc>
          <w:tcPr>
            <w:tcW w:w="1469" w:type="dxa"/>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固体调味料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01" w:type="dxa"/>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罂粟碱</w:t>
            </w:r>
          </w:p>
        </w:tc>
        <w:tc>
          <w:tcPr>
            <w:tcW w:w="1134" w:type="dxa"/>
            <w:noWrap w:val="0"/>
            <w:vAlign w:val="center"/>
          </w:tcPr>
          <w:p>
            <w:pPr>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不得使用</w:t>
            </w:r>
          </w:p>
        </w:tc>
        <w:tc>
          <w:tcPr>
            <w:tcW w:w="1188" w:type="dxa"/>
            <w:noWrap w:val="0"/>
            <w:vAlign w:val="center"/>
          </w:tcPr>
          <w:p>
            <w:pPr>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不得使用</w:t>
            </w:r>
          </w:p>
        </w:tc>
        <w:tc>
          <w:tcPr>
            <w:tcW w:w="1469" w:type="dxa"/>
            <w:noWrap w:val="0"/>
            <w:vAlign w:val="center"/>
          </w:tcPr>
          <w:p>
            <w:pPr>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不得使用</w:t>
            </w:r>
          </w:p>
        </w:tc>
        <w:tc>
          <w:tcPr>
            <w:tcW w:w="1469" w:type="dxa"/>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不得使用</w:t>
            </w:r>
          </w:p>
        </w:tc>
        <w:tc>
          <w:tcPr>
            <w:tcW w:w="1469" w:type="dxa"/>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不得使用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01" w:type="dxa"/>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吗啡</w:t>
            </w:r>
          </w:p>
        </w:tc>
        <w:tc>
          <w:tcPr>
            <w:tcW w:w="1134" w:type="dxa"/>
            <w:noWrap w:val="0"/>
            <w:vAlign w:val="center"/>
          </w:tcPr>
          <w:p>
            <w:pPr>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不得使用</w:t>
            </w:r>
          </w:p>
        </w:tc>
        <w:tc>
          <w:tcPr>
            <w:tcW w:w="1188" w:type="dxa"/>
            <w:noWrap w:val="0"/>
            <w:vAlign w:val="center"/>
          </w:tcPr>
          <w:p>
            <w:pPr>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不得使用</w:t>
            </w:r>
          </w:p>
        </w:tc>
        <w:tc>
          <w:tcPr>
            <w:tcW w:w="1469" w:type="dxa"/>
            <w:noWrap w:val="0"/>
            <w:vAlign w:val="center"/>
          </w:tcPr>
          <w:p>
            <w:pPr>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不得使用</w:t>
            </w:r>
          </w:p>
        </w:tc>
        <w:tc>
          <w:tcPr>
            <w:tcW w:w="1469" w:type="dxa"/>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不得使用</w:t>
            </w:r>
          </w:p>
        </w:tc>
        <w:tc>
          <w:tcPr>
            <w:tcW w:w="1469" w:type="dxa"/>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不得使用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01" w:type="dxa"/>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可待因</w:t>
            </w:r>
          </w:p>
        </w:tc>
        <w:tc>
          <w:tcPr>
            <w:tcW w:w="1134" w:type="dxa"/>
            <w:noWrap w:val="0"/>
            <w:vAlign w:val="center"/>
          </w:tcPr>
          <w:p>
            <w:pPr>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不得使用</w:t>
            </w:r>
          </w:p>
        </w:tc>
        <w:tc>
          <w:tcPr>
            <w:tcW w:w="1188" w:type="dxa"/>
            <w:noWrap w:val="0"/>
            <w:vAlign w:val="center"/>
          </w:tcPr>
          <w:p>
            <w:pPr>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不得使用</w:t>
            </w:r>
          </w:p>
        </w:tc>
        <w:tc>
          <w:tcPr>
            <w:tcW w:w="1469" w:type="dxa"/>
            <w:noWrap w:val="0"/>
            <w:vAlign w:val="center"/>
          </w:tcPr>
          <w:p>
            <w:pPr>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不得使用</w:t>
            </w:r>
          </w:p>
        </w:tc>
        <w:tc>
          <w:tcPr>
            <w:tcW w:w="1469" w:type="dxa"/>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不得使用</w:t>
            </w:r>
          </w:p>
        </w:tc>
        <w:tc>
          <w:tcPr>
            <w:tcW w:w="1469" w:type="dxa"/>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不得使用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01" w:type="dxa"/>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那可丁</w:t>
            </w:r>
          </w:p>
        </w:tc>
        <w:tc>
          <w:tcPr>
            <w:tcW w:w="1134" w:type="dxa"/>
            <w:noWrap w:val="0"/>
            <w:vAlign w:val="center"/>
          </w:tcPr>
          <w:p>
            <w:pPr>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不得使用</w:t>
            </w:r>
          </w:p>
        </w:tc>
        <w:tc>
          <w:tcPr>
            <w:tcW w:w="1188" w:type="dxa"/>
            <w:noWrap w:val="0"/>
            <w:vAlign w:val="center"/>
          </w:tcPr>
          <w:p>
            <w:pPr>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不得使用</w:t>
            </w:r>
          </w:p>
        </w:tc>
        <w:tc>
          <w:tcPr>
            <w:tcW w:w="1469" w:type="dxa"/>
            <w:noWrap w:val="0"/>
            <w:vAlign w:val="center"/>
          </w:tcPr>
          <w:p>
            <w:pPr>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不得使用</w:t>
            </w:r>
          </w:p>
        </w:tc>
        <w:tc>
          <w:tcPr>
            <w:tcW w:w="1469" w:type="dxa"/>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不得使用</w:t>
            </w:r>
          </w:p>
        </w:tc>
        <w:tc>
          <w:tcPr>
            <w:tcW w:w="1469" w:type="dxa"/>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不得使用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01" w:type="dxa"/>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罗丹明B</w:t>
            </w:r>
            <w:r>
              <w:rPr>
                <w:rFonts w:hint="default" w:ascii="Times New Roman" w:hAnsi="Times New Roman" w:eastAsia="方正仿宋_GBK" w:cs="Times New Roman"/>
                <w:sz w:val="28"/>
                <w:szCs w:val="28"/>
                <w:vertAlign w:val="superscript"/>
              </w:rPr>
              <w:t>a</w:t>
            </w:r>
          </w:p>
        </w:tc>
        <w:tc>
          <w:tcPr>
            <w:tcW w:w="1134" w:type="dxa"/>
            <w:noWrap w:val="0"/>
            <w:vAlign w:val="center"/>
          </w:tcPr>
          <w:p>
            <w:pPr>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w:t>
            </w:r>
          </w:p>
        </w:tc>
        <w:tc>
          <w:tcPr>
            <w:tcW w:w="1188" w:type="dxa"/>
            <w:noWrap w:val="0"/>
            <w:vAlign w:val="center"/>
          </w:tcPr>
          <w:p>
            <w:pPr>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w:t>
            </w:r>
          </w:p>
        </w:tc>
        <w:tc>
          <w:tcPr>
            <w:tcW w:w="1469" w:type="dxa"/>
            <w:noWrap w:val="0"/>
            <w:vAlign w:val="center"/>
          </w:tcPr>
          <w:p>
            <w:pPr>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不得使用</w:t>
            </w:r>
          </w:p>
        </w:tc>
        <w:tc>
          <w:tcPr>
            <w:tcW w:w="1469" w:type="dxa"/>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不得使用</w:t>
            </w:r>
          </w:p>
        </w:tc>
        <w:tc>
          <w:tcPr>
            <w:tcW w:w="1469" w:type="dxa"/>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不得使用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01" w:type="dxa"/>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苏丹红Ⅰ~Ⅳ</w:t>
            </w:r>
            <w:r>
              <w:rPr>
                <w:rFonts w:hint="default" w:ascii="Times New Roman" w:hAnsi="Times New Roman" w:eastAsia="方正仿宋_GBK" w:cs="Times New Roman"/>
                <w:sz w:val="28"/>
                <w:szCs w:val="28"/>
                <w:vertAlign w:val="superscript"/>
              </w:rPr>
              <w:t>a</w:t>
            </w:r>
          </w:p>
        </w:tc>
        <w:tc>
          <w:tcPr>
            <w:tcW w:w="1134" w:type="dxa"/>
            <w:noWrap w:val="0"/>
            <w:vAlign w:val="center"/>
          </w:tcPr>
          <w:p>
            <w:pPr>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w:t>
            </w:r>
          </w:p>
        </w:tc>
        <w:tc>
          <w:tcPr>
            <w:tcW w:w="1188" w:type="dxa"/>
            <w:noWrap w:val="0"/>
            <w:vAlign w:val="center"/>
          </w:tcPr>
          <w:p>
            <w:pPr>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w:t>
            </w:r>
          </w:p>
        </w:tc>
        <w:tc>
          <w:tcPr>
            <w:tcW w:w="1469" w:type="dxa"/>
            <w:noWrap w:val="0"/>
            <w:vAlign w:val="center"/>
          </w:tcPr>
          <w:p>
            <w:pPr>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不得使用</w:t>
            </w:r>
          </w:p>
        </w:tc>
        <w:tc>
          <w:tcPr>
            <w:tcW w:w="1469" w:type="dxa"/>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不得使用</w:t>
            </w:r>
          </w:p>
        </w:tc>
        <w:tc>
          <w:tcPr>
            <w:tcW w:w="1469" w:type="dxa"/>
            <w:noWrap w:val="0"/>
            <w:vAlign w:val="center"/>
          </w:tcPr>
          <w:p>
            <w:pPr>
              <w:adjustRightInd w:val="0"/>
              <w:snapToGrid w:val="0"/>
              <w:jc w:val="center"/>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不得使用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430" w:type="dxa"/>
            <w:gridSpan w:val="6"/>
            <w:noWrap w:val="0"/>
            <w:vAlign w:val="center"/>
          </w:tcPr>
          <w:p>
            <w:pPr>
              <w:adjustRightInd w:val="0"/>
              <w:snapToGrid w:val="0"/>
              <w:jc w:val="left"/>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限颜色为红色、棕色及相近颜色产品检测</w:t>
            </w:r>
          </w:p>
        </w:tc>
      </w:tr>
    </w:tbl>
    <w:p>
      <w:pPr>
        <w:spacing w:line="600" w:lineRule="exact"/>
        <w:ind w:firstLine="640" w:firstLineChars="200"/>
        <w:rPr>
          <w:rFonts w:hint="eastAsia" w:ascii="方正黑体_GBK" w:hAnsi="方正黑体_GBK" w:eastAsia="方正黑体_GBK" w:cs="方正黑体_GBK"/>
          <w:b w:val="0"/>
          <w:bCs/>
          <w:sz w:val="32"/>
          <w:szCs w:val="32"/>
        </w:rPr>
      </w:pPr>
      <w:r>
        <w:rPr>
          <w:rFonts w:hint="eastAsia" w:ascii="方正黑体_GBK" w:hAnsi="方正黑体_GBK" w:eastAsia="方正黑体_GBK" w:cs="方正黑体_GBK"/>
          <w:b w:val="0"/>
          <w:bCs/>
          <w:sz w:val="32"/>
          <w:szCs w:val="32"/>
        </w:rPr>
        <w:t>四、产品检验要求</w:t>
      </w:r>
    </w:p>
    <w:p>
      <w:pPr>
        <w:spacing w:line="60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申请调味品“食在广州”</w:t>
      </w:r>
      <w:r>
        <w:rPr>
          <w:rFonts w:hint="default" w:ascii="Times New Roman" w:hAnsi="Times New Roman" w:eastAsia="方正仿宋_GBK" w:cs="Times New Roman"/>
          <w:sz w:val="32"/>
          <w:szCs w:val="32"/>
          <w:lang w:eastAsia="zh-CN"/>
        </w:rPr>
        <w:t>评价</w:t>
      </w:r>
      <w:r>
        <w:rPr>
          <w:rFonts w:hint="default" w:ascii="Times New Roman" w:hAnsi="Times New Roman" w:eastAsia="方正仿宋_GBK" w:cs="Times New Roman"/>
          <w:sz w:val="32"/>
          <w:szCs w:val="32"/>
        </w:rPr>
        <w:t>认证的企业应按所申请产品种类，提供符合本认证技术规范要求的产品检验报告，企业对检验报告真实性负责。</w:t>
      </w:r>
    </w:p>
    <w:p>
      <w:pPr>
        <w:spacing w:line="60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检验项目应符合本认证技术规范要求，对应检测方法可采用适用的国家标准、行业标准、地方标准等及国务院卫生行政部门的相关公告方法。</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黑体_GBK">
    <w:altName w:val="微软雅黑"/>
    <w:panose1 w:val="03000509000000000000"/>
    <w:charset w:val="86"/>
    <w:family w:val="auto"/>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Y3ZDhhMTNlYjdhYzYwN2ZlZjg0OTA4NGExOTcxNjAifQ=="/>
  </w:docVars>
  <w:rsids>
    <w:rsidRoot w:val="60C851F0"/>
    <w:rsid w:val="60C851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2023-10-19T03:41:00Z</dcterms:created>
  <dc:creator>叶菲</dc:creator>
  <cp:lastModifiedBy>叶菲</cp:lastModifiedBy>
  <dcterms:modified xsi:type="dcterms:W3CDTF">2023-10-19T03:41:19Z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ED9A4A26AF474C8FAC23EB2045AEFD2A_11</vt:lpwstr>
  </property>
</Properties>
</file>